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E8" w:rsidRDefault="008E6408">
      <w:pPr>
        <w:jc w:val="right"/>
      </w:pPr>
      <w:bookmarkStart w:id="0" w:name="_GoBack"/>
      <w:bookmarkEnd w:id="0"/>
      <w:r>
        <w:rPr>
          <w:i/>
        </w:rPr>
        <w:t>Załącznik nr 4 do Zarządzenia Nr…………..</w:t>
      </w:r>
    </w:p>
    <w:p w:rsidR="00734AE8" w:rsidRDefault="00734AE8">
      <w:pPr>
        <w:jc w:val="right"/>
        <w:rPr>
          <w:i/>
        </w:rPr>
      </w:pPr>
    </w:p>
    <w:p w:rsidR="00734AE8" w:rsidRDefault="00734AE8">
      <w:pPr>
        <w:jc w:val="right"/>
        <w:rPr>
          <w:b/>
          <w:bCs/>
        </w:rPr>
      </w:pPr>
    </w:p>
    <w:p w:rsidR="00734AE8" w:rsidRDefault="008E6408">
      <w:pPr>
        <w:pStyle w:val="Nagwek1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KURSU</w:t>
      </w:r>
    </w:p>
    <w:p w:rsidR="00734AE8" w:rsidRDefault="00734AE8">
      <w:pPr>
        <w:jc w:val="center"/>
      </w:pPr>
    </w:p>
    <w:tbl>
      <w:tblPr>
        <w:tblW w:w="9653" w:type="dxa"/>
        <w:tblInd w:w="-125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Layout w:type="fixed"/>
        <w:tblCellMar>
          <w:top w:w="28" w:type="dxa"/>
          <w:left w:w="21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7669"/>
      </w:tblGrid>
      <w:tr w:rsidR="00734AE8">
        <w:trPr>
          <w:trHeight w:val="395"/>
        </w:trPr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8E6408">
            <w:pPr>
              <w:snapToGrid w:val="0"/>
              <w:spacing w:before="57" w:after="57"/>
              <w:jc w:val="center"/>
            </w:pPr>
            <w:r>
              <w:t>Nazwa</w:t>
            </w:r>
          </w:p>
        </w:tc>
        <w:tc>
          <w:tcPr>
            <w:tcW w:w="766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</w:pPr>
            <w:r>
              <w:t xml:space="preserve">                                 Literatura angielska i jej konteksty kulturowe</w:t>
            </w:r>
          </w:p>
        </w:tc>
      </w:tr>
      <w:tr w:rsidR="00734AE8" w:rsidRPr="007A664F">
        <w:trPr>
          <w:trHeight w:val="379"/>
        </w:trPr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8E6408">
            <w:pPr>
              <w:snapToGrid w:val="0"/>
              <w:spacing w:before="57" w:after="57"/>
              <w:jc w:val="center"/>
              <w:rPr>
                <w:lang w:val="en-US"/>
              </w:rPr>
            </w:pPr>
            <w:r>
              <w:t>Nazwa w j. ang.</w:t>
            </w:r>
          </w:p>
        </w:tc>
        <w:tc>
          <w:tcPr>
            <w:tcW w:w="766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Pr="0040064D" w:rsidRDefault="008E6408">
            <w:pPr>
              <w:pStyle w:val="Zawartotabeli"/>
              <w:snapToGrid w:val="0"/>
              <w:spacing w:before="60" w:after="60"/>
              <w:jc w:val="center"/>
              <w:rPr>
                <w:lang w:val="fr-FR"/>
              </w:rPr>
            </w:pPr>
            <w:r w:rsidRPr="0040064D">
              <w:rPr>
                <w:lang w:val="fr-FR"/>
              </w:rPr>
              <w:t xml:space="preserve">English </w:t>
            </w:r>
            <w:proofErr w:type="spellStart"/>
            <w:r w:rsidRPr="0040064D">
              <w:rPr>
                <w:lang w:val="fr-FR"/>
              </w:rPr>
              <w:t>literature</w:t>
            </w:r>
            <w:proofErr w:type="spellEnd"/>
            <w:r w:rsidRPr="0040064D">
              <w:rPr>
                <w:lang w:val="fr-FR"/>
              </w:rPr>
              <w:t xml:space="preserve"> and </w:t>
            </w:r>
            <w:proofErr w:type="spellStart"/>
            <w:r w:rsidRPr="0040064D">
              <w:rPr>
                <w:lang w:val="fr-FR"/>
              </w:rPr>
              <w:t>its</w:t>
            </w:r>
            <w:proofErr w:type="spellEnd"/>
            <w:r w:rsidRPr="0040064D">
              <w:rPr>
                <w:lang w:val="fr-FR"/>
              </w:rPr>
              <w:t xml:space="preserve"> cultural </w:t>
            </w:r>
            <w:proofErr w:type="spellStart"/>
            <w:r w:rsidRPr="0040064D">
              <w:rPr>
                <w:lang w:val="fr-FR"/>
              </w:rPr>
              <w:t>contexts</w:t>
            </w:r>
            <w:proofErr w:type="spellEnd"/>
          </w:p>
        </w:tc>
      </w:tr>
    </w:tbl>
    <w:p w:rsidR="00734AE8" w:rsidRDefault="00734AE8">
      <w:pPr>
        <w:jc w:val="center"/>
        <w:rPr>
          <w:lang w:val="en-US"/>
        </w:rPr>
      </w:pPr>
    </w:p>
    <w:tbl>
      <w:tblPr>
        <w:tblW w:w="9653" w:type="dxa"/>
        <w:tblInd w:w="-98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89"/>
      </w:tblGrid>
      <w:tr w:rsidR="00734AE8">
        <w:trPr>
          <w:trHeight w:val="405"/>
        </w:trPr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48" w:type="dxa"/>
            </w:tcMar>
            <w:vAlign w:val="center"/>
          </w:tcPr>
          <w:p w:rsidR="00734AE8" w:rsidRDefault="008E6408">
            <w:pPr>
              <w:snapToGrid w:val="0"/>
              <w:spacing w:before="57" w:after="57" w:line="100" w:lineRule="atLeast"/>
              <w:jc w:val="center"/>
              <w:textAlignment w:val="baseline"/>
            </w:pPr>
            <w:r>
              <w:t>Kod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48" w:type="dxa"/>
            </w:tcMar>
            <w:vAlign w:val="center"/>
          </w:tcPr>
          <w:p w:rsidR="00734AE8" w:rsidRDefault="00734AE8">
            <w:pPr>
              <w:snapToGrid w:val="0"/>
              <w:spacing w:before="57" w:after="57"/>
              <w:ind w:left="45"/>
              <w:jc w:val="center"/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48" w:type="dxa"/>
            </w:tcMar>
            <w:vAlign w:val="center"/>
          </w:tcPr>
          <w:p w:rsidR="00734AE8" w:rsidRDefault="008E6408">
            <w:pPr>
              <w:snapToGrid w:val="0"/>
              <w:spacing w:line="100" w:lineRule="atLeast"/>
              <w:ind w:left="45"/>
              <w:jc w:val="center"/>
            </w:pPr>
            <w:r>
              <w:t>Punktacja ECTS*</w:t>
            </w:r>
          </w:p>
        </w:tc>
        <w:tc>
          <w:tcPr>
            <w:tcW w:w="128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8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3</w:t>
            </w:r>
          </w:p>
        </w:tc>
      </w:tr>
    </w:tbl>
    <w:p w:rsidR="00734AE8" w:rsidRDefault="00734AE8">
      <w:pPr>
        <w:jc w:val="center"/>
      </w:pPr>
    </w:p>
    <w:tbl>
      <w:tblPr>
        <w:tblW w:w="9653" w:type="dxa"/>
        <w:tblInd w:w="-98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4394"/>
        <w:gridCol w:w="3277"/>
      </w:tblGrid>
      <w:tr w:rsidR="00734AE8">
        <w:trPr>
          <w:cantSplit/>
        </w:trPr>
        <w:tc>
          <w:tcPr>
            <w:tcW w:w="19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48" w:type="dxa"/>
            </w:tcMar>
            <w:vAlign w:val="center"/>
          </w:tcPr>
          <w:p w:rsidR="00734AE8" w:rsidRDefault="008E6408">
            <w:pPr>
              <w:snapToGrid w:val="0"/>
              <w:spacing w:before="57" w:after="57"/>
              <w:ind w:right="2"/>
              <w:jc w:val="center"/>
            </w:pPr>
            <w:r>
              <w:t>Koordynator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auto"/>
            <w:tcMar>
              <w:left w:w="48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Dr hab. Tomasz Sikora, prof. UP</w:t>
            </w:r>
          </w:p>
        </w:tc>
        <w:tc>
          <w:tcPr>
            <w:tcW w:w="327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left w:w="48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Pracownicy zespołu literaturoznawstwa</w:t>
            </w:r>
          </w:p>
        </w:tc>
      </w:tr>
    </w:tbl>
    <w:p w:rsidR="00734AE8" w:rsidRDefault="00734AE8"/>
    <w:p w:rsidR="00734AE8" w:rsidRDefault="008E6408">
      <w:pPr>
        <w:pStyle w:val="Zawartotabeli"/>
        <w:snapToGrid w:val="0"/>
        <w:spacing w:before="57" w:after="57"/>
        <w:jc w:val="center"/>
        <w:rPr>
          <w:rFonts w:eastAsia="Arial"/>
        </w:rPr>
      </w:pPr>
      <w:r>
        <w:rPr>
          <w:rFonts w:eastAsia="Arial"/>
        </w:rPr>
        <w:t xml:space="preserve">                                   </w:t>
      </w:r>
    </w:p>
    <w:p w:rsidR="00734AE8" w:rsidRDefault="008E6408">
      <w:pPr>
        <w:pStyle w:val="Zawartotabeli"/>
        <w:snapToGrid w:val="0"/>
        <w:spacing w:before="57" w:after="57"/>
        <w:jc w:val="center"/>
      </w:pPr>
      <w:r>
        <w:rPr>
          <w:rFonts w:eastAsia="Arial"/>
        </w:rPr>
        <w:t xml:space="preserve">                                                                                               </w:t>
      </w:r>
    </w:p>
    <w:p w:rsidR="00734AE8" w:rsidRDefault="008E6408">
      <w:r>
        <w:t>Opis kursu (cele kształcenia)</w:t>
      </w:r>
    </w:p>
    <w:p w:rsidR="00734AE8" w:rsidRDefault="00734AE8"/>
    <w:tbl>
      <w:tblPr>
        <w:tblW w:w="9690" w:type="dxa"/>
        <w:tblInd w:w="-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734AE8">
        <w:trPr>
          <w:trHeight w:val="1365"/>
        </w:trPr>
        <w:tc>
          <w:tcPr>
            <w:tcW w:w="9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jc w:val="both"/>
            </w:pPr>
            <w:r>
              <w:t xml:space="preserve"> Celem kursu jest zapoznanie studentów z najważniejszymi zjawiskami literackim, jakie miały miejsce w literaturze angielskiej i amerykańskiej. Kurs przedstawia sylwetki najważniejszych twórców zarówno na polu poezji, prozy, jak i dramatu. </w:t>
            </w:r>
          </w:p>
        </w:tc>
      </w:tr>
    </w:tbl>
    <w:p w:rsidR="00734AE8" w:rsidRDefault="00734AE8"/>
    <w:p w:rsidR="00734AE8" w:rsidRDefault="00734AE8"/>
    <w:p w:rsidR="00734AE8" w:rsidRDefault="008E6408">
      <w:r>
        <w:t>Warunki wstępne</w:t>
      </w:r>
    </w:p>
    <w:p w:rsidR="00734AE8" w:rsidRDefault="00734AE8"/>
    <w:tbl>
      <w:tblPr>
        <w:tblW w:w="9653" w:type="dxa"/>
        <w:tblInd w:w="-98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712"/>
      </w:tblGrid>
      <w:tr w:rsidR="00734AE8">
        <w:trPr>
          <w:trHeight w:val="550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48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Wiedza</w:t>
            </w:r>
          </w:p>
        </w:tc>
        <w:tc>
          <w:tcPr>
            <w:tcW w:w="77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8" w:type="dxa"/>
            </w:tcMar>
            <w:vAlign w:val="center"/>
          </w:tcPr>
          <w:p w:rsidR="00734AE8" w:rsidRDefault="008E6408">
            <w:r>
              <w:t>Ogólna wiedza literaturoznawcza wyniesiona ze studiów licencjackich</w:t>
            </w:r>
          </w:p>
          <w:p w:rsidR="00734AE8" w:rsidRDefault="00734AE8"/>
        </w:tc>
      </w:tr>
      <w:tr w:rsidR="00734AE8">
        <w:trPr>
          <w:trHeight w:val="762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48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Umiejętności</w:t>
            </w:r>
          </w:p>
        </w:tc>
        <w:tc>
          <w:tcPr>
            <w:tcW w:w="77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8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</w:pPr>
            <w:r>
              <w:t>Umiejętności krytyczno-literackie nabyte na studiach licencjackich</w:t>
            </w:r>
          </w:p>
          <w:p w:rsidR="00734AE8" w:rsidRDefault="00734AE8"/>
        </w:tc>
      </w:tr>
      <w:tr w:rsidR="00734AE8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48" w:type="dxa"/>
            </w:tcMar>
            <w:vAlign w:val="center"/>
          </w:tcPr>
          <w:p w:rsidR="00734AE8" w:rsidRDefault="008E6408">
            <w:pPr>
              <w:snapToGrid w:val="0"/>
              <w:jc w:val="center"/>
              <w:rPr>
                <w:i/>
                <w:iCs/>
              </w:rPr>
            </w:pPr>
            <w:r>
              <w:t>Kursy</w:t>
            </w:r>
          </w:p>
        </w:tc>
        <w:tc>
          <w:tcPr>
            <w:tcW w:w="77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48" w:type="dxa"/>
            </w:tcMar>
            <w:vAlign w:val="center"/>
          </w:tcPr>
          <w:p w:rsidR="00734AE8" w:rsidRDefault="008E6408">
            <w:r>
              <w:t>niewymagane</w:t>
            </w:r>
          </w:p>
        </w:tc>
      </w:tr>
    </w:tbl>
    <w:p w:rsidR="00734AE8" w:rsidRDefault="00734AE8"/>
    <w:p w:rsidR="00734AE8" w:rsidRDefault="00734AE8"/>
    <w:p w:rsidR="00734AE8" w:rsidRDefault="00734AE8"/>
    <w:p w:rsidR="00734AE8" w:rsidRDefault="008E6408">
      <w:r>
        <w:t xml:space="preserve">Efekty </w:t>
      </w:r>
      <w:r w:rsidR="007A664F">
        <w:t>kształcenia</w:t>
      </w:r>
    </w:p>
    <w:p w:rsidR="00734AE8" w:rsidRDefault="00734AE8"/>
    <w:tbl>
      <w:tblPr>
        <w:tblW w:w="9691" w:type="dxa"/>
        <w:tblInd w:w="-107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299"/>
        <w:gridCol w:w="2416"/>
      </w:tblGrid>
      <w:tr w:rsidR="00734AE8">
        <w:trPr>
          <w:cantSplit/>
          <w:trHeight w:val="930"/>
        </w:trPr>
        <w:tc>
          <w:tcPr>
            <w:tcW w:w="19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Wiedza</w:t>
            </w:r>
          </w:p>
        </w:tc>
        <w:tc>
          <w:tcPr>
            <w:tcW w:w="5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 xml:space="preserve">Efekt </w:t>
            </w:r>
            <w:r w:rsidR="007A664F">
              <w:t>kształcenia</w:t>
            </w:r>
            <w:r w:rsidR="0040064D" w:rsidRPr="0040064D">
              <w:t xml:space="preserve"> </w:t>
            </w:r>
            <w:r>
              <w:t>dla kursu</w:t>
            </w:r>
          </w:p>
        </w:tc>
        <w:tc>
          <w:tcPr>
            <w:tcW w:w="2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Odniesienie do efektów kierunkowych</w:t>
            </w:r>
          </w:p>
        </w:tc>
      </w:tr>
      <w:tr w:rsidR="00734AE8">
        <w:trPr>
          <w:cantSplit/>
          <w:trHeight w:val="1838"/>
        </w:trPr>
        <w:tc>
          <w:tcPr>
            <w:tcW w:w="19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W1 posiada pogłębioną wiedzę o powiązaniach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dziedzin nauki i dyscyplin naukowych właściwych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dla filologii pozwalającą na integrowanie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perspektyw właściwych dla kilku dyscyplin i 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W2- wykazuje pogłębioną wiedzę o współczesnych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dokonaniach, ośrodkach i szkołach badawczych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obejmującą wybrane obszary dziedzin nauki i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dyscyplin naukowych z zakresu filologii 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W3-posiada pogłębioną wiedzę i zrozumienie metod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analizy, interpretacji, wartościowania i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problematyzowania, różnych wytworów kultury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właściwe dla wybranych tradycji, teorii lub szkół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badawczych w zakresie filologii </w:t>
            </w:r>
          </w:p>
          <w:p w:rsidR="00734AE8" w:rsidRDefault="00734AE8">
            <w:pPr>
              <w:pStyle w:val="Normalny1"/>
              <w:rPr>
                <w:color w:val="00000A"/>
              </w:rPr>
            </w:pPr>
          </w:p>
        </w:tc>
        <w:tc>
          <w:tcPr>
            <w:tcW w:w="2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>K2_W03</w:t>
            </w:r>
          </w:p>
          <w:p w:rsidR="00734AE8" w:rsidRDefault="00734AE8">
            <w:pPr>
              <w:pStyle w:val="Normalny1"/>
              <w:rPr>
                <w:color w:val="00000A"/>
              </w:rPr>
            </w:pPr>
          </w:p>
          <w:p w:rsidR="00734AE8" w:rsidRDefault="00734AE8">
            <w:pPr>
              <w:pStyle w:val="Normalny1"/>
              <w:rPr>
                <w:color w:val="00000A"/>
              </w:rPr>
            </w:pPr>
          </w:p>
          <w:p w:rsidR="00734AE8" w:rsidRDefault="00734AE8">
            <w:pPr>
              <w:pStyle w:val="Normalny1"/>
              <w:rPr>
                <w:color w:val="00000A"/>
              </w:rPr>
            </w:pP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>K2_W04</w:t>
            </w:r>
          </w:p>
          <w:p w:rsidR="00734AE8" w:rsidRDefault="00734AE8">
            <w:pPr>
              <w:pStyle w:val="Normalny1"/>
              <w:rPr>
                <w:color w:val="00000A"/>
              </w:rPr>
            </w:pPr>
          </w:p>
          <w:p w:rsidR="00734AE8" w:rsidRDefault="00734AE8">
            <w:pPr>
              <w:pStyle w:val="Normalny1"/>
              <w:rPr>
                <w:color w:val="00000A"/>
              </w:rPr>
            </w:pPr>
          </w:p>
          <w:p w:rsidR="00734AE8" w:rsidRDefault="00734AE8">
            <w:pPr>
              <w:pStyle w:val="Normalny1"/>
              <w:rPr>
                <w:color w:val="00000A"/>
              </w:rPr>
            </w:pP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>K2_W05</w:t>
            </w:r>
          </w:p>
          <w:p w:rsidR="00734AE8" w:rsidRDefault="00734AE8">
            <w:pPr>
              <w:pStyle w:val="Normalny1"/>
              <w:rPr>
                <w:color w:val="00000A"/>
              </w:rPr>
            </w:pPr>
          </w:p>
        </w:tc>
      </w:tr>
    </w:tbl>
    <w:p w:rsidR="00734AE8" w:rsidRDefault="00734AE8"/>
    <w:p w:rsidR="00734AE8" w:rsidRDefault="00734AE8"/>
    <w:p w:rsidR="00734AE8" w:rsidRDefault="00734AE8"/>
    <w:tbl>
      <w:tblPr>
        <w:tblW w:w="9690" w:type="dxa"/>
        <w:tblInd w:w="-107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245"/>
        <w:gridCol w:w="2461"/>
      </w:tblGrid>
      <w:tr w:rsidR="00734AE8">
        <w:trPr>
          <w:cantSplit/>
          <w:trHeight w:val="939"/>
        </w:trPr>
        <w:tc>
          <w:tcPr>
            <w:tcW w:w="19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 xml:space="preserve">Efekt </w:t>
            </w:r>
            <w:r w:rsidR="007A664F">
              <w:t>kształcenia</w:t>
            </w:r>
            <w:r w:rsidR="0040064D" w:rsidRPr="0040064D">
              <w:t xml:space="preserve"> </w:t>
            </w:r>
            <w:r>
              <w:t>dla kursu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Odniesienie do efektów kierunkowych</w:t>
            </w:r>
          </w:p>
        </w:tc>
      </w:tr>
      <w:tr w:rsidR="00734AE8">
        <w:trPr>
          <w:cantSplit/>
          <w:trHeight w:val="2116"/>
        </w:trPr>
        <w:tc>
          <w:tcPr>
            <w:tcW w:w="19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U1-wyszukuje, analizuje, ocenia, selekcjonuje i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użytkuje informację z wykorzystaniem różnych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źródeł oraz formułować na tej podstawie krytyczne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sądy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U2- formułuje i analizuje problemy badawcze w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zakresie językoznawstwa (w tym językoznawstwa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stosowanego), literaturoznawstwa oraz kultury i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>historii obszaru językowego w sposób pogłębiony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U3- samodzielnie zdobywa wiedzę i rozwija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umiejętności badawcze oraz podejmuje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autonomiczne działania zmierzające do rozwijania </w:t>
            </w:r>
          </w:p>
          <w:p w:rsidR="00734AE8" w:rsidRDefault="008E6408">
            <w:pPr>
              <w:pStyle w:val="Normalny1"/>
              <w:rPr>
                <w:rFonts w:eastAsia="Arial"/>
                <w:color w:val="00000A"/>
              </w:rPr>
            </w:pPr>
            <w:r>
              <w:rPr>
                <w:color w:val="00000A"/>
              </w:rPr>
              <w:t xml:space="preserve">zdolności i kierowania własną karierą zawodową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rFonts w:eastAsia="Arial"/>
                <w:color w:val="00000A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pStyle w:val="Normalny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K2_U01</w:t>
            </w:r>
          </w:p>
          <w:p w:rsidR="00734AE8" w:rsidRDefault="00734AE8">
            <w:pPr>
              <w:pStyle w:val="Normalny1"/>
              <w:snapToGrid w:val="0"/>
              <w:jc w:val="center"/>
              <w:rPr>
                <w:color w:val="00000A"/>
              </w:rPr>
            </w:pPr>
          </w:p>
          <w:p w:rsidR="00734AE8" w:rsidRDefault="00734AE8">
            <w:pPr>
              <w:pStyle w:val="Normalny1"/>
              <w:snapToGrid w:val="0"/>
              <w:jc w:val="center"/>
              <w:rPr>
                <w:color w:val="00000A"/>
              </w:rPr>
            </w:pPr>
          </w:p>
          <w:p w:rsidR="00734AE8" w:rsidRDefault="00734AE8">
            <w:pPr>
              <w:pStyle w:val="Normalny1"/>
              <w:snapToGrid w:val="0"/>
              <w:jc w:val="center"/>
              <w:rPr>
                <w:color w:val="00000A"/>
              </w:rPr>
            </w:pPr>
          </w:p>
          <w:p w:rsidR="00734AE8" w:rsidRDefault="008E6408">
            <w:pPr>
              <w:pStyle w:val="Normalny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K2_U02</w:t>
            </w:r>
          </w:p>
          <w:p w:rsidR="00734AE8" w:rsidRDefault="00734AE8">
            <w:pPr>
              <w:pStyle w:val="Normalny1"/>
              <w:snapToGrid w:val="0"/>
              <w:jc w:val="center"/>
              <w:rPr>
                <w:color w:val="00000A"/>
              </w:rPr>
            </w:pPr>
          </w:p>
          <w:p w:rsidR="00734AE8" w:rsidRDefault="00734AE8">
            <w:pPr>
              <w:pStyle w:val="Normalny1"/>
              <w:snapToGrid w:val="0"/>
              <w:jc w:val="center"/>
              <w:rPr>
                <w:color w:val="00000A"/>
              </w:rPr>
            </w:pPr>
          </w:p>
          <w:p w:rsidR="00734AE8" w:rsidRDefault="00734AE8">
            <w:pPr>
              <w:pStyle w:val="Normalny1"/>
              <w:snapToGrid w:val="0"/>
              <w:jc w:val="center"/>
              <w:rPr>
                <w:color w:val="00000A"/>
              </w:rPr>
            </w:pPr>
          </w:p>
          <w:p w:rsidR="00734AE8" w:rsidRDefault="008E6408">
            <w:pPr>
              <w:pStyle w:val="Normalny1"/>
              <w:snapToGrid w:val="0"/>
              <w:jc w:val="center"/>
              <w:rPr>
                <w:color w:val="00000A"/>
              </w:rPr>
            </w:pPr>
            <w:r>
              <w:rPr>
                <w:color w:val="00000A"/>
              </w:rPr>
              <w:t>K2_U03</w:t>
            </w:r>
          </w:p>
        </w:tc>
      </w:tr>
    </w:tbl>
    <w:p w:rsidR="00734AE8" w:rsidRDefault="00734AE8"/>
    <w:p w:rsidR="00734AE8" w:rsidRDefault="00734AE8"/>
    <w:p w:rsidR="00734AE8" w:rsidRDefault="00734AE8"/>
    <w:p w:rsidR="00734AE8" w:rsidRDefault="00734AE8"/>
    <w:tbl>
      <w:tblPr>
        <w:tblW w:w="9690" w:type="dxa"/>
        <w:tblInd w:w="-107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245"/>
        <w:gridCol w:w="2461"/>
      </w:tblGrid>
      <w:tr w:rsidR="00734AE8">
        <w:trPr>
          <w:cantSplit/>
          <w:trHeight w:val="800"/>
        </w:trPr>
        <w:tc>
          <w:tcPr>
            <w:tcW w:w="198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 xml:space="preserve">Efekt </w:t>
            </w:r>
            <w:r w:rsidR="007A664F">
              <w:t>kształcenia</w:t>
            </w:r>
            <w:r w:rsidR="0040064D" w:rsidRPr="0040064D">
              <w:t xml:space="preserve"> </w:t>
            </w:r>
            <w:r>
              <w:t>dla kursu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left w:w="55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Odniesienie do efektów kierunkowych</w:t>
            </w:r>
          </w:p>
        </w:tc>
      </w:tr>
      <w:tr w:rsidR="00734AE8">
        <w:trPr>
          <w:cantSplit/>
          <w:trHeight w:val="1984"/>
        </w:trPr>
        <w:tc>
          <w:tcPr>
            <w:tcW w:w="198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pStyle w:val="Normalny1"/>
              <w:snapToGrid w:val="0"/>
              <w:rPr>
                <w:color w:val="00000A"/>
              </w:rPr>
            </w:pPr>
            <w:r>
              <w:rPr>
                <w:color w:val="00000A"/>
              </w:rPr>
              <w:t xml:space="preserve"> K1-rozumie znaczenie wiedzy w rozwiązywaniu </w:t>
            </w:r>
          </w:p>
          <w:p w:rsidR="00734AE8" w:rsidRDefault="008E6408">
            <w:pPr>
              <w:pStyle w:val="Normalny1"/>
              <w:snapToGrid w:val="0"/>
              <w:rPr>
                <w:color w:val="00000A"/>
              </w:rPr>
            </w:pPr>
            <w:r>
              <w:rPr>
                <w:color w:val="00000A"/>
              </w:rPr>
              <w:t xml:space="preserve">problemów  </w:t>
            </w:r>
          </w:p>
          <w:p w:rsidR="00734AE8" w:rsidRDefault="008E6408">
            <w:pPr>
              <w:pStyle w:val="Normalny1"/>
              <w:rPr>
                <w:color w:val="00000A"/>
              </w:rPr>
            </w:pPr>
            <w:r>
              <w:rPr>
                <w:color w:val="00000A"/>
              </w:rPr>
              <w:t xml:space="preserve">K2-krytycznie ocenia odbierane treści 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pStyle w:val="Normalny1"/>
              <w:snapToGrid w:val="0"/>
              <w:rPr>
                <w:color w:val="00000A"/>
              </w:rPr>
            </w:pPr>
            <w:r>
              <w:rPr>
                <w:color w:val="00000A"/>
              </w:rPr>
              <w:t>K2_K01</w:t>
            </w:r>
          </w:p>
          <w:p w:rsidR="00734AE8" w:rsidRDefault="00734AE8">
            <w:pPr>
              <w:pStyle w:val="Normalny1"/>
              <w:snapToGrid w:val="0"/>
              <w:rPr>
                <w:color w:val="00000A"/>
              </w:rPr>
            </w:pPr>
          </w:p>
          <w:p w:rsidR="00734AE8" w:rsidRDefault="008E6408">
            <w:pPr>
              <w:pStyle w:val="Normalny1"/>
              <w:snapToGrid w:val="0"/>
              <w:rPr>
                <w:color w:val="00000A"/>
              </w:rPr>
            </w:pPr>
            <w:r>
              <w:rPr>
                <w:color w:val="00000A"/>
              </w:rPr>
              <w:t>K1_K04</w:t>
            </w:r>
          </w:p>
        </w:tc>
      </w:tr>
    </w:tbl>
    <w:p w:rsidR="00734AE8" w:rsidRDefault="00734AE8"/>
    <w:p w:rsidR="00734AE8" w:rsidRDefault="00734AE8"/>
    <w:p w:rsidR="00734AE8" w:rsidRDefault="00734AE8"/>
    <w:p w:rsidR="00734AE8" w:rsidRDefault="00734AE8"/>
    <w:tbl>
      <w:tblPr>
        <w:tblW w:w="9653" w:type="dxa"/>
        <w:tblInd w:w="-12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28" w:type="dxa"/>
          <w:left w:w="21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9"/>
        <w:gridCol w:w="1224"/>
        <w:gridCol w:w="849"/>
        <w:gridCol w:w="272"/>
        <w:gridCol w:w="862"/>
        <w:gridCol w:w="318"/>
        <w:gridCol w:w="819"/>
        <w:gridCol w:w="284"/>
        <w:gridCol w:w="849"/>
        <w:gridCol w:w="284"/>
        <w:gridCol w:w="849"/>
        <w:gridCol w:w="287"/>
        <w:gridCol w:w="849"/>
        <w:gridCol w:w="298"/>
      </w:tblGrid>
      <w:tr w:rsidR="00734AE8">
        <w:trPr>
          <w:cantSplit/>
          <w:trHeight w:hRule="exact" w:val="424"/>
        </w:trPr>
        <w:tc>
          <w:tcPr>
            <w:tcW w:w="9653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ind w:left="45" w:right="137"/>
              <w:jc w:val="center"/>
            </w:pPr>
            <w:r>
              <w:t>Organizacja</w:t>
            </w:r>
          </w:p>
        </w:tc>
      </w:tr>
      <w:tr w:rsidR="00734AE8">
        <w:trPr>
          <w:cantSplit/>
          <w:trHeight w:val="654"/>
        </w:trPr>
        <w:tc>
          <w:tcPr>
            <w:tcW w:w="160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Forma zajęć</w:t>
            </w:r>
          </w:p>
        </w:tc>
        <w:tc>
          <w:tcPr>
            <w:tcW w:w="1224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Wykład</w:t>
            </w:r>
          </w:p>
          <w:p w:rsidR="00734AE8" w:rsidRDefault="008E6408">
            <w:pPr>
              <w:pStyle w:val="Zawartotabeli"/>
              <w:spacing w:before="57" w:after="57"/>
              <w:jc w:val="center"/>
            </w:pPr>
            <w:r>
              <w:lastRenderedPageBreak/>
              <w:t>(W)</w:t>
            </w:r>
          </w:p>
        </w:tc>
        <w:tc>
          <w:tcPr>
            <w:tcW w:w="6820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lastRenderedPageBreak/>
              <w:t>Ćwiczenia w grupach</w:t>
            </w:r>
          </w:p>
        </w:tc>
      </w:tr>
      <w:tr w:rsidR="00734AE8">
        <w:trPr>
          <w:cantSplit/>
          <w:trHeight w:val="477"/>
        </w:trPr>
        <w:tc>
          <w:tcPr>
            <w:tcW w:w="16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224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K</w:t>
            </w:r>
          </w:p>
        </w:tc>
        <w:tc>
          <w:tcPr>
            <w:tcW w:w="31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P</w:t>
            </w:r>
          </w:p>
        </w:tc>
        <w:tc>
          <w:tcPr>
            <w:tcW w:w="2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84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E</w:t>
            </w:r>
          </w:p>
        </w:tc>
        <w:tc>
          <w:tcPr>
            <w:tcW w:w="29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734AE8">
        <w:trPr>
          <w:trHeight w:val="499"/>
        </w:trPr>
        <w:tc>
          <w:tcPr>
            <w:tcW w:w="16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Liczba godzin</w:t>
            </w:r>
          </w:p>
        </w:tc>
        <w:tc>
          <w:tcPr>
            <w:tcW w:w="12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2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8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</w:pPr>
            <w: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4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734AE8">
        <w:trPr>
          <w:trHeight w:val="462"/>
        </w:trPr>
        <w:tc>
          <w:tcPr>
            <w:tcW w:w="16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2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2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8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3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114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  <w:vAlign w:val="center"/>
          </w:tcPr>
          <w:p w:rsidR="00734AE8" w:rsidRDefault="00734AE8">
            <w:pPr>
              <w:pStyle w:val="Zawartotabeli"/>
              <w:snapToGrid w:val="0"/>
              <w:spacing w:before="57" w:after="57"/>
              <w:jc w:val="center"/>
            </w:pPr>
          </w:p>
        </w:tc>
      </w:tr>
    </w:tbl>
    <w:p w:rsidR="00734AE8" w:rsidRDefault="00734AE8">
      <w:pPr>
        <w:pStyle w:val="Zawartotabeli"/>
      </w:pPr>
    </w:p>
    <w:p w:rsidR="00734AE8" w:rsidRDefault="008E6408">
      <w:r>
        <w:t>Opis metod prowadzenia zajęć</w:t>
      </w:r>
    </w:p>
    <w:p w:rsidR="00734AE8" w:rsidRDefault="00734AE8">
      <w:pPr>
        <w:pStyle w:val="Zawartotabeli"/>
        <w:snapToGrid w:val="0"/>
      </w:pPr>
    </w:p>
    <w:p w:rsidR="00734AE8" w:rsidRDefault="00734AE8">
      <w:pPr>
        <w:pStyle w:val="Zawartotabeli"/>
        <w:snapToGrid w:val="0"/>
      </w:pPr>
    </w:p>
    <w:tbl>
      <w:tblPr>
        <w:tblW w:w="9672" w:type="dxa"/>
        <w:tblInd w:w="-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672"/>
      </w:tblGrid>
      <w:tr w:rsidR="00734AE8">
        <w:trPr>
          <w:trHeight w:val="1920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pStyle w:val="Zawartotabeli"/>
              <w:snapToGrid w:val="0"/>
            </w:pPr>
            <w:r>
              <w:t>analiza krytyczno-literacka i tematyczna omawianych tekstów; dyskusja ogólna</w:t>
            </w:r>
          </w:p>
        </w:tc>
      </w:tr>
    </w:tbl>
    <w:p w:rsidR="00734AE8" w:rsidRDefault="008E6408">
      <w:pPr>
        <w:pStyle w:val="Zawartotabeli"/>
      </w:pPr>
      <w:r>
        <w:t xml:space="preserve">Formy sprawdzania efektów </w:t>
      </w:r>
      <w:r w:rsidR="007A664F">
        <w:t>kształcenia</w:t>
      </w:r>
    </w:p>
    <w:p w:rsidR="00734AE8" w:rsidRDefault="00734AE8">
      <w:pPr>
        <w:pStyle w:val="Zawartotabeli"/>
      </w:pPr>
    </w:p>
    <w:tbl>
      <w:tblPr>
        <w:tblW w:w="9796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62"/>
        <w:gridCol w:w="670"/>
        <w:gridCol w:w="868"/>
        <w:gridCol w:w="775"/>
        <w:gridCol w:w="713"/>
        <w:gridCol w:w="899"/>
        <w:gridCol w:w="917"/>
        <w:gridCol w:w="701"/>
        <w:gridCol w:w="677"/>
        <w:gridCol w:w="633"/>
        <w:gridCol w:w="676"/>
        <w:gridCol w:w="701"/>
        <w:gridCol w:w="701"/>
        <w:gridCol w:w="503"/>
      </w:tblGrid>
      <w:tr w:rsidR="00734AE8">
        <w:trPr>
          <w:cantSplit/>
          <w:trHeight w:val="1616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734AE8">
            <w:pPr>
              <w:snapToGrid w:val="0"/>
              <w:ind w:left="113" w:right="113"/>
              <w:jc w:val="center"/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 xml:space="preserve">E – </w:t>
            </w:r>
            <w:r>
              <w:rPr>
                <w:lang w:val="en-US"/>
              </w:rPr>
              <w:t>learning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Gry dydaktyczne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Ćwiczenia w szkole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Zajęcia terenowe</w:t>
            </w: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Praca laboratoryjna</w:t>
            </w: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Projekt indywidualny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Projekt grupowy</w:t>
            </w: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Udział w dyskusji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Referat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Praca pisemna (esej)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Egzamin ustny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Egzamin pisemny</w:t>
            </w: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ind w:left="113" w:right="113"/>
              <w:jc w:val="center"/>
            </w:pPr>
            <w:r>
              <w:t>Inne</w:t>
            </w:r>
          </w:p>
        </w:tc>
      </w:tr>
      <w:tr w:rsidR="00734AE8">
        <w:trPr>
          <w:cantSplit/>
          <w:trHeight w:val="244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59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W2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  <w:p w:rsidR="00734AE8" w:rsidRDefault="00734AE8">
            <w:pPr>
              <w:snapToGrid w:val="0"/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59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W3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44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>U1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59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t xml:space="preserve">U2 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59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jc w:val="center"/>
            </w:pPr>
            <w:r>
              <w:lastRenderedPageBreak/>
              <w:t>U3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44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</w:pPr>
            <w:r>
              <w:t>K1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59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jc w:val="both"/>
            </w:pPr>
            <w:r>
              <w:t>K2</w:t>
            </w: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  <w:tr w:rsidR="00734AE8">
        <w:trPr>
          <w:cantSplit/>
          <w:trHeight w:val="259"/>
        </w:trPr>
        <w:tc>
          <w:tcPr>
            <w:tcW w:w="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734AE8">
            <w:pPr>
              <w:snapToGrid w:val="0"/>
              <w:jc w:val="both"/>
            </w:pPr>
          </w:p>
        </w:tc>
        <w:tc>
          <w:tcPr>
            <w:tcW w:w="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9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8E6408">
            <w:pPr>
              <w:snapToGrid w:val="0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93" w:type="dxa"/>
            </w:tcMar>
          </w:tcPr>
          <w:p w:rsidR="00734AE8" w:rsidRDefault="00734AE8">
            <w:pPr>
              <w:snapToGrid w:val="0"/>
            </w:pPr>
          </w:p>
        </w:tc>
      </w:tr>
    </w:tbl>
    <w:p w:rsidR="00734AE8" w:rsidRDefault="00734AE8">
      <w:pPr>
        <w:pStyle w:val="Zawartotabeli"/>
      </w:pPr>
    </w:p>
    <w:p w:rsidR="00734AE8" w:rsidRDefault="00734AE8">
      <w:pPr>
        <w:pStyle w:val="Zawartotabeli"/>
      </w:pPr>
    </w:p>
    <w:p w:rsidR="00734AE8" w:rsidRDefault="00734AE8">
      <w:pPr>
        <w:pStyle w:val="Zawartotabeli"/>
      </w:pPr>
    </w:p>
    <w:tbl>
      <w:tblPr>
        <w:tblW w:w="9653" w:type="dxa"/>
        <w:tblInd w:w="-125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Layout w:type="fixed"/>
        <w:tblCellMar>
          <w:top w:w="28" w:type="dxa"/>
          <w:left w:w="21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712"/>
      </w:tblGrid>
      <w:tr w:rsidR="00734AE8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8E6408">
            <w:pPr>
              <w:pStyle w:val="Zawartotabeli"/>
              <w:snapToGrid w:val="0"/>
              <w:spacing w:before="57" w:after="57"/>
              <w:jc w:val="center"/>
              <w:rPr>
                <w:rFonts w:eastAsia="Arial"/>
              </w:rPr>
            </w:pPr>
            <w:r>
              <w:t>Kryteria oceny</w:t>
            </w:r>
          </w:p>
        </w:tc>
        <w:tc>
          <w:tcPr>
            <w:tcW w:w="77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</w:tcPr>
          <w:p w:rsidR="00734AE8" w:rsidRDefault="008E6408">
            <w:pPr>
              <w:pStyle w:val="Zawartotabeli"/>
              <w:spacing w:before="57" w:after="57"/>
            </w:pPr>
            <w:r>
              <w:t>Zaliczenie</w:t>
            </w:r>
            <w:r w:rsidR="0040064D">
              <w:t xml:space="preserve"> na ocenę</w:t>
            </w:r>
            <w:r>
              <w:t xml:space="preserve"> jest udzielane na podstawie przygotowania na piśmie odpowiedzi na zestaw pytań do wybranej lektury lub prezentacji na temat wybrany w konsultacji z prowadzącym zajęcia (ustalane w zależności od liczebności grupy).</w:t>
            </w:r>
          </w:p>
          <w:p w:rsidR="00734AE8" w:rsidRDefault="008E6408">
            <w:pPr>
              <w:pStyle w:val="Zawartotabeli"/>
              <w:spacing w:before="57" w:after="57"/>
            </w:pPr>
            <w:r>
              <w:t xml:space="preserve">Student powinien </w:t>
            </w:r>
            <w:proofErr w:type="spellStart"/>
            <w:r>
              <w:t>miec</w:t>
            </w:r>
            <w:proofErr w:type="spellEnd"/>
            <w:r>
              <w:t xml:space="preserve"> nie więcej niż dwie nieusprawiedliwione nieobecności (tzn. z powodów innych </w:t>
            </w:r>
            <w:proofErr w:type="spellStart"/>
            <w:r>
              <w:t>niz</w:t>
            </w:r>
            <w:proofErr w:type="spellEnd"/>
            <w:r>
              <w:t xml:space="preserve"> choroba potwierdzona zwolnieniem lekarskim). Przekroczenie tego limitu może skutkować brakiem zaliczenia</w:t>
            </w:r>
          </w:p>
        </w:tc>
      </w:tr>
    </w:tbl>
    <w:p w:rsidR="00734AE8" w:rsidRDefault="00734AE8"/>
    <w:p w:rsidR="00734AE8" w:rsidRDefault="00734AE8"/>
    <w:tbl>
      <w:tblPr>
        <w:tblW w:w="9653" w:type="dxa"/>
        <w:tblInd w:w="-125" w:type="dxa"/>
        <w:tblBorders>
          <w:top w:val="single" w:sz="2" w:space="0" w:color="C0C0C0"/>
          <w:left w:val="single" w:sz="2" w:space="0" w:color="C0C0C0"/>
          <w:bottom w:val="single" w:sz="2" w:space="0" w:color="C0C0C0"/>
          <w:insideH w:val="single" w:sz="2" w:space="0" w:color="C0C0C0"/>
        </w:tblBorders>
        <w:tblLayout w:type="fixed"/>
        <w:tblCellMar>
          <w:top w:w="28" w:type="dxa"/>
          <w:left w:w="21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712"/>
      </w:tblGrid>
      <w:tr w:rsidR="00734AE8">
        <w:trPr>
          <w:trHeight w:val="1089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tcMar>
              <w:left w:w="21" w:type="dxa"/>
            </w:tcMar>
            <w:vAlign w:val="center"/>
          </w:tcPr>
          <w:p w:rsidR="00734AE8" w:rsidRDefault="008E6408">
            <w:pPr>
              <w:snapToGrid w:val="0"/>
              <w:spacing w:after="57"/>
              <w:jc w:val="center"/>
            </w:pPr>
            <w:r>
              <w:t>Uwagi</w:t>
            </w:r>
          </w:p>
        </w:tc>
        <w:tc>
          <w:tcPr>
            <w:tcW w:w="771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left w:w="21" w:type="dxa"/>
            </w:tcMar>
          </w:tcPr>
          <w:p w:rsidR="00734AE8" w:rsidRDefault="00734AE8">
            <w:pPr>
              <w:pStyle w:val="Zawartotabeli"/>
              <w:snapToGrid w:val="0"/>
              <w:spacing w:before="57" w:after="57"/>
            </w:pPr>
          </w:p>
          <w:p w:rsidR="00734AE8" w:rsidRDefault="00734AE8">
            <w:pPr>
              <w:pStyle w:val="Zawartotabeli"/>
              <w:spacing w:before="57" w:after="57"/>
            </w:pPr>
          </w:p>
        </w:tc>
      </w:tr>
    </w:tbl>
    <w:p w:rsidR="00734AE8" w:rsidRDefault="00734AE8"/>
    <w:p w:rsidR="00734AE8" w:rsidRDefault="00734AE8"/>
    <w:p w:rsidR="00734AE8" w:rsidRDefault="008E6408">
      <w:r>
        <w:t>Treści merytoryczne (wykaz tematów)</w:t>
      </w:r>
    </w:p>
    <w:p w:rsidR="00734AE8" w:rsidRDefault="00734AE8"/>
    <w:tbl>
      <w:tblPr>
        <w:tblW w:w="9672" w:type="dxa"/>
        <w:tblInd w:w="-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672"/>
      </w:tblGrid>
      <w:tr w:rsidR="00734AE8">
        <w:trPr>
          <w:trHeight w:val="1136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numPr>
                <w:ilvl w:val="0"/>
                <w:numId w:val="3"/>
              </w:numPr>
              <w:ind w:left="720"/>
            </w:pPr>
            <w:r>
              <w:t>Literatura średniowiecza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Teatr średniowiecza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Teatr elżbietański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Szekspir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Poeci metafizyczni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Narodziny powieści realistycznej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Literatura Oświecenia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lastRenderedPageBreak/>
              <w:t>Powieść gotycka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Romantyzm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  <w:rPr>
                <w:i/>
                <w:iCs/>
              </w:rPr>
            </w:pPr>
            <w:r>
              <w:t>Powieść wiktoriańska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</w:pPr>
            <w:r>
              <w:t>Literatura schyłku XIX w.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</w:pPr>
            <w:r>
              <w:t>Teatr absurdu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</w:pPr>
            <w:r>
              <w:t>Romantyzm amerykański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</w:pPr>
            <w:r>
              <w:t xml:space="preserve">Przełom </w:t>
            </w:r>
            <w:proofErr w:type="spellStart"/>
            <w:r>
              <w:t>modernistycny</w:t>
            </w:r>
            <w:proofErr w:type="spellEnd"/>
            <w:r>
              <w:t xml:space="preserve"> w powieści amerykańskiej</w:t>
            </w:r>
          </w:p>
          <w:p w:rsidR="00734AE8" w:rsidRDefault="008E6408">
            <w:pPr>
              <w:numPr>
                <w:ilvl w:val="0"/>
                <w:numId w:val="3"/>
              </w:numPr>
              <w:ind w:left="720"/>
            </w:pPr>
            <w:r>
              <w:t>„Pozłacany wiek” - międzywojenna literatura amerykańska</w:t>
            </w:r>
          </w:p>
          <w:p w:rsidR="00734AE8" w:rsidRDefault="00734AE8">
            <w:pPr>
              <w:rPr>
                <w:i/>
                <w:iCs/>
              </w:rPr>
            </w:pPr>
          </w:p>
        </w:tc>
      </w:tr>
    </w:tbl>
    <w:p w:rsidR="00734AE8" w:rsidRDefault="00734AE8"/>
    <w:p w:rsidR="00734AE8" w:rsidRDefault="00734AE8"/>
    <w:p w:rsidR="00734AE8" w:rsidRDefault="008E6408">
      <w:r>
        <w:t>Wykaz literatury podstawowej</w:t>
      </w:r>
    </w:p>
    <w:p w:rsidR="00734AE8" w:rsidRDefault="00734AE8"/>
    <w:tbl>
      <w:tblPr>
        <w:tblW w:w="9644" w:type="dxa"/>
        <w:tblInd w:w="-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734AE8" w:rsidRPr="007A664F">
        <w:trPr>
          <w:trHeight w:val="1098"/>
        </w:trPr>
        <w:tc>
          <w:tcPr>
            <w:tcW w:w="9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snapToGrid w:val="0"/>
            </w:pPr>
            <w:r>
              <w:rPr>
                <w:i/>
                <w:iCs/>
              </w:rPr>
              <w:t xml:space="preserve">Pan </w:t>
            </w:r>
            <w:proofErr w:type="spellStart"/>
            <w:r>
              <w:rPr>
                <w:i/>
                <w:iCs/>
              </w:rPr>
              <w:t>Gawen</w:t>
            </w:r>
            <w:proofErr w:type="spellEnd"/>
            <w:r>
              <w:rPr>
                <w:i/>
                <w:iCs/>
              </w:rPr>
              <w:t xml:space="preserve"> i Zielony Rycerz</w:t>
            </w:r>
            <w:r>
              <w:t xml:space="preserve">, Warszawa: Wydawnictwo </w:t>
            </w:r>
            <w:proofErr w:type="spellStart"/>
            <w:r>
              <w:t>Amber</w:t>
            </w:r>
            <w:proofErr w:type="spellEnd"/>
            <w:r>
              <w:t>, 1997</w:t>
            </w:r>
          </w:p>
          <w:p w:rsidR="00734AE8" w:rsidRDefault="008E6408">
            <w:pPr>
              <w:snapToGrid w:val="0"/>
            </w:pPr>
            <w:r>
              <w:t xml:space="preserve">Geoffrey Chaucer, </w:t>
            </w:r>
            <w:r>
              <w:rPr>
                <w:i/>
                <w:iCs/>
              </w:rPr>
              <w:t xml:space="preserve">Opowieści kanterberyjskie, </w:t>
            </w:r>
            <w:r>
              <w:t xml:space="preserve">Wrocław: </w:t>
            </w:r>
            <w:proofErr w:type="spellStart"/>
            <w:r>
              <w:t>Ossolineoum</w:t>
            </w:r>
            <w:proofErr w:type="spellEnd"/>
            <w:r>
              <w:t>, 1983 (w wyborze)</w:t>
            </w:r>
          </w:p>
          <w:p w:rsidR="00734AE8" w:rsidRDefault="008E6408">
            <w:pPr>
              <w:snapToGrid w:val="0"/>
              <w:rPr>
                <w:i/>
                <w:iCs/>
              </w:rPr>
            </w:pPr>
            <w:r>
              <w:t xml:space="preserve">William Szekspir, Sonety 20, 130, 144, </w:t>
            </w:r>
            <w:r>
              <w:rPr>
                <w:i/>
                <w:iCs/>
              </w:rPr>
              <w:t>Burza</w:t>
            </w:r>
          </w:p>
          <w:p w:rsidR="00734AE8" w:rsidRDefault="008E6408">
            <w:pPr>
              <w:snapToGrid w:val="0"/>
            </w:pPr>
            <w:r>
              <w:t xml:space="preserve">John </w:t>
            </w:r>
            <w:proofErr w:type="spellStart"/>
            <w:r>
              <w:t>Donne</w:t>
            </w:r>
            <w:proofErr w:type="spellEnd"/>
            <w:r>
              <w:t>, „Pchła”, „Waleta żalu zabraniająca”</w:t>
            </w:r>
          </w:p>
          <w:p w:rsidR="00734AE8" w:rsidRDefault="008E6408">
            <w:pPr>
              <w:snapToGrid w:val="0"/>
            </w:pPr>
            <w:r>
              <w:t>George Herbert „Skrzydła wielkanocne”</w:t>
            </w:r>
          </w:p>
          <w:p w:rsidR="00734AE8" w:rsidRDefault="008E6408">
            <w:pPr>
              <w:snapToGrid w:val="0"/>
            </w:pPr>
            <w:r>
              <w:t>Andrew Marvell „Do nieskorej bogdanki”</w:t>
            </w:r>
          </w:p>
          <w:p w:rsidR="00734AE8" w:rsidRDefault="008E6408">
            <w:pPr>
              <w:snapToGrid w:val="0"/>
            </w:pPr>
            <w:r>
              <w:t xml:space="preserve">Alexander </w:t>
            </w:r>
            <w:proofErr w:type="spellStart"/>
            <w:r>
              <w:t>Pope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Porwany lok, </w:t>
            </w:r>
            <w:r>
              <w:t>Kraków: Wydawnictwo Literackie, 1982</w:t>
            </w:r>
          </w:p>
          <w:p w:rsidR="00734AE8" w:rsidRDefault="008E6408">
            <w:pPr>
              <w:snapToGrid w:val="0"/>
            </w:pPr>
            <w:r>
              <w:t xml:space="preserve">Daniel Defoe, </w:t>
            </w:r>
            <w:r>
              <w:rPr>
                <w:i/>
                <w:iCs/>
              </w:rPr>
              <w:t xml:space="preserve">Fortunne i niefortunne przypadki sławnej Moll </w:t>
            </w:r>
            <w:proofErr w:type="spellStart"/>
            <w:r>
              <w:rPr>
                <w:i/>
                <w:iCs/>
              </w:rPr>
              <w:t>Flanders</w:t>
            </w:r>
            <w:proofErr w:type="spellEnd"/>
            <w:r>
              <w:t>, Warszawa: Czytelnik, 1984 (w wyborze)</w:t>
            </w:r>
          </w:p>
          <w:p w:rsidR="00734AE8" w:rsidRDefault="008E6408">
            <w:pPr>
              <w:snapToGrid w:val="0"/>
            </w:pPr>
            <w:r>
              <w:t xml:space="preserve">Henry Fielding, </w:t>
            </w:r>
            <w:r>
              <w:rPr>
                <w:i/>
                <w:iCs/>
              </w:rPr>
              <w:t>Historia życia Toma Jonesa</w:t>
            </w:r>
            <w:r>
              <w:t>, Warszawa: PIW, 1978 (w wyborze)</w:t>
            </w:r>
          </w:p>
          <w:p w:rsidR="00734AE8" w:rsidRDefault="008E6408">
            <w:pPr>
              <w:snapToGrid w:val="0"/>
            </w:pPr>
            <w:proofErr w:type="spellStart"/>
            <w:r>
              <w:t>Horace</w:t>
            </w:r>
            <w:proofErr w:type="spellEnd"/>
            <w:r>
              <w:t xml:space="preserve"> </w:t>
            </w:r>
            <w:proofErr w:type="spellStart"/>
            <w:r>
              <w:t>Walpole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Zamczysko w </w:t>
            </w:r>
            <w:proofErr w:type="spellStart"/>
            <w:r>
              <w:rPr>
                <w:i/>
                <w:iCs/>
              </w:rPr>
              <w:t>Otranto</w:t>
            </w:r>
            <w:proofErr w:type="spellEnd"/>
            <w:r>
              <w:t>, Kraków: Wydawnictwo Literackie, 1974.</w:t>
            </w:r>
          </w:p>
          <w:p w:rsidR="00734AE8" w:rsidRDefault="008E6408">
            <w:pPr>
              <w:snapToGrid w:val="0"/>
            </w:pPr>
            <w:r>
              <w:t>William Blake „Baranek”, „Tygrys”</w:t>
            </w:r>
          </w:p>
          <w:p w:rsidR="00734AE8" w:rsidRDefault="008E6408">
            <w:pPr>
              <w:snapToGrid w:val="0"/>
            </w:pPr>
            <w:r>
              <w:t>William Wordsworth „Jest nas siedmioro”</w:t>
            </w:r>
          </w:p>
          <w:p w:rsidR="00734AE8" w:rsidRDefault="008E6408">
            <w:pPr>
              <w:snapToGrid w:val="0"/>
            </w:pPr>
            <w:r>
              <w:t>George Gordon Byron „Już nie będziemy na noc całą..”</w:t>
            </w:r>
          </w:p>
          <w:p w:rsidR="00734AE8" w:rsidRDefault="008E6408">
            <w:pPr>
              <w:snapToGrid w:val="0"/>
            </w:pPr>
            <w:proofErr w:type="spellStart"/>
            <w:r>
              <w:t>Percy</w:t>
            </w:r>
            <w:proofErr w:type="spellEnd"/>
            <w:r>
              <w:t xml:space="preserve"> </w:t>
            </w:r>
            <w:proofErr w:type="spellStart"/>
            <w:r>
              <w:t>Bysshe</w:t>
            </w:r>
            <w:proofErr w:type="spellEnd"/>
            <w:r>
              <w:t xml:space="preserve"> Shelley „</w:t>
            </w:r>
            <w:proofErr w:type="spellStart"/>
            <w:r>
              <w:t>Ozymandyas</w:t>
            </w:r>
            <w:proofErr w:type="spellEnd"/>
            <w:r>
              <w:t>”</w:t>
            </w:r>
          </w:p>
          <w:p w:rsidR="00734AE8" w:rsidRDefault="008E6408">
            <w:pPr>
              <w:snapToGrid w:val="0"/>
            </w:pPr>
            <w:r>
              <w:t xml:space="preserve">Mary Shelley, </w:t>
            </w:r>
            <w:r>
              <w:rPr>
                <w:i/>
                <w:iCs/>
              </w:rPr>
              <w:t>Frankenstein</w:t>
            </w:r>
            <w:r>
              <w:t xml:space="preserve"> </w:t>
            </w:r>
          </w:p>
          <w:p w:rsidR="00734AE8" w:rsidRDefault="008E6408">
            <w:pPr>
              <w:snapToGrid w:val="0"/>
            </w:pPr>
            <w:proofErr w:type="spellStart"/>
            <w:r>
              <w:t>Emily</w:t>
            </w:r>
            <w:proofErr w:type="spellEnd"/>
            <w:r>
              <w:t xml:space="preserve"> </w:t>
            </w:r>
            <w:proofErr w:type="spellStart"/>
            <w:r>
              <w:t>Brontë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Wichrowe Wzgórza</w:t>
            </w:r>
          </w:p>
          <w:p w:rsidR="00734AE8" w:rsidRDefault="008E6408">
            <w:pPr>
              <w:snapToGrid w:val="0"/>
              <w:rPr>
                <w:i/>
                <w:iCs/>
              </w:rPr>
            </w:pPr>
            <w:r>
              <w:lastRenderedPageBreak/>
              <w:t xml:space="preserve">Oscar Wilde, </w:t>
            </w:r>
            <w:r>
              <w:rPr>
                <w:i/>
                <w:iCs/>
              </w:rPr>
              <w:t xml:space="preserve">Portret Doriana Greya </w:t>
            </w:r>
          </w:p>
          <w:p w:rsidR="00734AE8" w:rsidRDefault="008E6408">
            <w:pPr>
              <w:snapToGrid w:val="0"/>
              <w:rPr>
                <w:i/>
                <w:iCs/>
              </w:rPr>
            </w:pPr>
            <w:r>
              <w:t xml:space="preserve">Samuel Beckett </w:t>
            </w:r>
            <w:r>
              <w:rPr>
                <w:i/>
                <w:iCs/>
              </w:rPr>
              <w:t>Czekając na Godota</w:t>
            </w:r>
          </w:p>
          <w:p w:rsidR="00734AE8" w:rsidRDefault="008E6408">
            <w:pPr>
              <w:snapToGrid w:val="0"/>
            </w:pPr>
            <w:r>
              <w:t xml:space="preserve">Edgar Allan Poe „Kruk”, „Beczka </w:t>
            </w:r>
            <w:proofErr w:type="spellStart"/>
            <w:r>
              <w:t>amontillado</w:t>
            </w:r>
            <w:proofErr w:type="spellEnd"/>
            <w:r>
              <w:t>”, „Skradziony list”</w:t>
            </w:r>
          </w:p>
          <w:p w:rsidR="00734AE8" w:rsidRPr="0040064D" w:rsidRDefault="008E6408">
            <w:pPr>
              <w:snapToGrid w:val="0"/>
              <w:rPr>
                <w:i/>
                <w:iCs/>
                <w:lang w:val="fr-FR"/>
              </w:rPr>
            </w:pPr>
            <w:r w:rsidRPr="0040064D">
              <w:rPr>
                <w:lang w:val="fr-FR"/>
              </w:rPr>
              <w:t xml:space="preserve">Henry James </w:t>
            </w:r>
            <w:r w:rsidRPr="0040064D">
              <w:rPr>
                <w:i/>
                <w:iCs/>
                <w:lang w:val="fr-FR"/>
              </w:rPr>
              <w:t>Daisy Miller</w:t>
            </w:r>
          </w:p>
          <w:p w:rsidR="00734AE8" w:rsidRPr="0040064D" w:rsidRDefault="008E6408">
            <w:pPr>
              <w:snapToGrid w:val="0"/>
              <w:rPr>
                <w:i/>
                <w:iCs/>
                <w:lang w:val="fr-FR"/>
              </w:rPr>
            </w:pPr>
            <w:r w:rsidRPr="0040064D">
              <w:rPr>
                <w:lang w:val="fr-FR"/>
              </w:rPr>
              <w:t xml:space="preserve">Francis Scott Fitzgerald </w:t>
            </w:r>
            <w:proofErr w:type="spellStart"/>
            <w:r w:rsidRPr="0040064D">
              <w:rPr>
                <w:i/>
                <w:iCs/>
                <w:lang w:val="fr-FR"/>
              </w:rPr>
              <w:t>Wielki</w:t>
            </w:r>
            <w:proofErr w:type="spellEnd"/>
            <w:r w:rsidRPr="0040064D">
              <w:rPr>
                <w:i/>
                <w:iCs/>
                <w:lang w:val="fr-FR"/>
              </w:rPr>
              <w:t xml:space="preserve"> Gatsby</w:t>
            </w:r>
          </w:p>
        </w:tc>
      </w:tr>
    </w:tbl>
    <w:p w:rsidR="00734AE8" w:rsidRPr="0040064D" w:rsidRDefault="00734AE8">
      <w:pPr>
        <w:rPr>
          <w:lang w:val="fr-FR"/>
        </w:rPr>
      </w:pPr>
    </w:p>
    <w:p w:rsidR="00734AE8" w:rsidRDefault="008E6408">
      <w:r>
        <w:t>Wykaz literatury uzupełniającej</w:t>
      </w:r>
    </w:p>
    <w:p w:rsidR="00734AE8" w:rsidRDefault="00734AE8"/>
    <w:tbl>
      <w:tblPr>
        <w:tblW w:w="9672" w:type="dxa"/>
        <w:tblInd w:w="-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672"/>
      </w:tblGrid>
      <w:tr w:rsidR="00734AE8">
        <w:trPr>
          <w:trHeight w:val="1112"/>
        </w:trPr>
        <w:tc>
          <w:tcPr>
            <w:tcW w:w="96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5" w:type="dxa"/>
            </w:tcMar>
          </w:tcPr>
          <w:p w:rsidR="00734AE8" w:rsidRDefault="008E6408">
            <w:pPr>
              <w:rPr>
                <w:iCs/>
              </w:rPr>
            </w:pPr>
            <w:r>
              <w:rPr>
                <w:iCs/>
              </w:rPr>
              <w:t xml:space="preserve">Przemysław Mroczkowski, </w:t>
            </w:r>
            <w:r>
              <w:rPr>
                <w:i/>
                <w:iCs/>
              </w:rPr>
              <w:t xml:space="preserve">Historia literatury angielskiej: zarys. </w:t>
            </w:r>
            <w:r>
              <w:rPr>
                <w:iCs/>
              </w:rPr>
              <w:t>Wrocław: Zakład Narodowy im. Ossolińskich, 2004.</w:t>
            </w:r>
          </w:p>
          <w:p w:rsidR="00734AE8" w:rsidRDefault="008E6408">
            <w:pPr>
              <w:rPr>
                <w:iCs/>
              </w:rPr>
            </w:pPr>
            <w:r>
              <w:rPr>
                <w:iCs/>
              </w:rPr>
              <w:t xml:space="preserve">Henryk Zbierski, </w:t>
            </w:r>
            <w:r>
              <w:rPr>
                <w:i/>
              </w:rPr>
              <w:t>Historia literatury angielskiej</w:t>
            </w:r>
            <w:r>
              <w:rPr>
                <w:iCs/>
              </w:rPr>
              <w:t>, Poznań: Atena 2002</w:t>
            </w:r>
          </w:p>
          <w:p w:rsidR="00734AE8" w:rsidRDefault="008E6408">
            <w:pPr>
              <w:rPr>
                <w:iCs/>
              </w:rPr>
            </w:pPr>
            <w:r>
              <w:rPr>
                <w:iCs/>
              </w:rPr>
              <w:t xml:space="preserve">Mariusz Misztal (red.) </w:t>
            </w:r>
            <w:r>
              <w:rPr>
                <w:i/>
              </w:rPr>
              <w:t xml:space="preserve">Wielka historia literatury anglojęzycznej, </w:t>
            </w:r>
            <w:r>
              <w:rPr>
                <w:iCs/>
              </w:rPr>
              <w:t>t. 1 i 2, Kraków: Wydawnictwo UP, 2012.</w:t>
            </w:r>
          </w:p>
          <w:p w:rsidR="00734AE8" w:rsidRPr="0040064D" w:rsidRDefault="008E6408">
            <w:pPr>
              <w:rPr>
                <w:iCs/>
                <w:lang w:val="fr-FR"/>
              </w:rPr>
            </w:pPr>
            <w:r w:rsidRPr="0040064D">
              <w:rPr>
                <w:iCs/>
                <w:lang w:val="fr-FR"/>
              </w:rPr>
              <w:t xml:space="preserve">Andrew Sanders, </w:t>
            </w:r>
            <w:r w:rsidRPr="0040064D">
              <w:rPr>
                <w:i/>
                <w:lang w:val="fr-FR"/>
              </w:rPr>
              <w:t xml:space="preserve">The Short Oxford </w:t>
            </w:r>
            <w:proofErr w:type="spellStart"/>
            <w:r w:rsidRPr="0040064D">
              <w:rPr>
                <w:i/>
                <w:lang w:val="fr-FR"/>
              </w:rPr>
              <w:t>History</w:t>
            </w:r>
            <w:proofErr w:type="spellEnd"/>
            <w:r w:rsidRPr="0040064D">
              <w:rPr>
                <w:i/>
                <w:lang w:val="fr-FR"/>
              </w:rPr>
              <w:t xml:space="preserve"> of English </w:t>
            </w:r>
            <w:proofErr w:type="spellStart"/>
            <w:r w:rsidRPr="0040064D">
              <w:rPr>
                <w:i/>
                <w:lang w:val="fr-FR"/>
              </w:rPr>
              <w:t>Literature</w:t>
            </w:r>
            <w:proofErr w:type="spellEnd"/>
            <w:r w:rsidRPr="0040064D">
              <w:rPr>
                <w:iCs/>
                <w:lang w:val="fr-FR"/>
              </w:rPr>
              <w:t>, Oxford: UP, 2004</w:t>
            </w:r>
          </w:p>
          <w:p w:rsidR="00734AE8" w:rsidRDefault="008E6408">
            <w:pPr>
              <w:rPr>
                <w:iCs/>
              </w:rPr>
            </w:pPr>
            <w:r>
              <w:rPr>
                <w:iCs/>
              </w:rPr>
              <w:t xml:space="preserve">Władysław </w:t>
            </w:r>
            <w:proofErr w:type="spellStart"/>
            <w:r>
              <w:rPr>
                <w:iCs/>
              </w:rPr>
              <w:t>Floryan</w:t>
            </w:r>
            <w:proofErr w:type="spellEnd"/>
            <w:r>
              <w:rPr>
                <w:iCs/>
              </w:rPr>
              <w:t xml:space="preserve"> (red.), </w:t>
            </w:r>
            <w:r>
              <w:rPr>
                <w:i/>
              </w:rPr>
              <w:t xml:space="preserve">Dzieje literatur europejskich </w:t>
            </w:r>
            <w:r>
              <w:rPr>
                <w:iCs/>
              </w:rPr>
              <w:t>t.2 (rozdziały o literaturze angielskiej i amerykańskiej), Warszawa: PWN, 1982.</w:t>
            </w:r>
          </w:p>
          <w:p w:rsidR="00734AE8" w:rsidRDefault="008E6408">
            <w:pPr>
              <w:rPr>
                <w:iCs/>
              </w:rPr>
            </w:pPr>
            <w:r>
              <w:rPr>
                <w:iCs/>
              </w:rPr>
              <w:t xml:space="preserve">Andrzej </w:t>
            </w:r>
            <w:proofErr w:type="spellStart"/>
            <w:r>
              <w:rPr>
                <w:iCs/>
              </w:rPr>
              <w:t>Kopcewicz</w:t>
            </w:r>
            <w:proofErr w:type="spellEnd"/>
            <w:r>
              <w:rPr>
                <w:iCs/>
              </w:rPr>
              <w:t xml:space="preserve"> i Marta Sienicka, </w:t>
            </w:r>
            <w:r>
              <w:rPr>
                <w:i/>
              </w:rPr>
              <w:t>Historia literatury amerykańskiej w zarysie,</w:t>
            </w:r>
            <w:r>
              <w:rPr>
                <w:iCs/>
              </w:rPr>
              <w:t xml:space="preserve"> t. 1 -2, Warszawa: PWN, 1982 - 3.</w:t>
            </w:r>
          </w:p>
        </w:tc>
      </w:tr>
    </w:tbl>
    <w:p w:rsidR="00734AE8" w:rsidRDefault="00734AE8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:rsidR="00734AE8" w:rsidRDefault="008E6408">
      <w:pPr>
        <w:pStyle w:val="Tekstdymk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Bilans godzinowy zgodny z CNPS (Całkowity Nakład Pracy Studenta)</w:t>
      </w:r>
    </w:p>
    <w:p w:rsidR="00734AE8" w:rsidRDefault="00734AE8"/>
    <w:tbl>
      <w:tblPr>
        <w:tblW w:w="9632" w:type="dxa"/>
        <w:tblInd w:w="-35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65"/>
        <w:gridCol w:w="5748"/>
        <w:gridCol w:w="1119"/>
      </w:tblGrid>
      <w:tr w:rsidR="00734AE8">
        <w:trPr>
          <w:cantSplit/>
          <w:trHeight w:val="334"/>
        </w:trPr>
        <w:tc>
          <w:tcPr>
            <w:tcW w:w="276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Ilość godzin w kontakcie z prowadzącymi</w:t>
            </w: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Wykład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734AE8">
            <w:pPr>
              <w:widowControl/>
              <w:snapToGrid w:val="0"/>
              <w:spacing w:line="276" w:lineRule="auto"/>
              <w:jc w:val="both"/>
            </w:pPr>
          </w:p>
        </w:tc>
      </w:tr>
      <w:tr w:rsidR="00734AE8">
        <w:trPr>
          <w:cantSplit/>
          <w:trHeight w:val="332"/>
        </w:trPr>
        <w:tc>
          <w:tcPr>
            <w:tcW w:w="276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734AE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Konwersatorium (ćwiczenia, laboratorium itd.)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both"/>
            </w:pPr>
            <w:r>
              <w:t>30</w:t>
            </w:r>
          </w:p>
        </w:tc>
      </w:tr>
      <w:tr w:rsidR="00734AE8">
        <w:trPr>
          <w:cantSplit/>
          <w:trHeight w:val="670"/>
        </w:trPr>
        <w:tc>
          <w:tcPr>
            <w:tcW w:w="276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734AE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snapToGrid w:val="0"/>
              <w:spacing w:line="276" w:lineRule="auto"/>
              <w:ind w:left="360"/>
              <w:jc w:val="center"/>
              <w:rPr>
                <w:rFonts w:eastAsia="Arial"/>
              </w:rPr>
            </w:pPr>
            <w:r>
              <w:rPr>
                <w:rFonts w:eastAsia="Calibri"/>
              </w:rPr>
              <w:t>Pozostałe godziny kontaktu studenta z prowadzącym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both"/>
            </w:pPr>
            <w:r>
              <w:rPr>
                <w:rFonts w:eastAsia="Arial"/>
              </w:rPr>
              <w:t xml:space="preserve">     5</w:t>
            </w:r>
          </w:p>
        </w:tc>
      </w:tr>
      <w:tr w:rsidR="00734AE8">
        <w:trPr>
          <w:cantSplit/>
          <w:trHeight w:val="348"/>
        </w:trPr>
        <w:tc>
          <w:tcPr>
            <w:tcW w:w="276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center"/>
            </w:pPr>
            <w:r>
              <w:rPr>
                <w:rFonts w:eastAsia="Calibri"/>
              </w:rPr>
              <w:t>Ilość godzin pracy studenta bez kontaktu z prowadzącymi</w:t>
            </w: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Lektura w ramach przygotowania do zajęć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both"/>
            </w:pPr>
            <w:r>
              <w:t>30</w:t>
            </w:r>
          </w:p>
        </w:tc>
      </w:tr>
      <w:tr w:rsidR="00734AE8">
        <w:trPr>
          <w:cantSplit/>
          <w:trHeight w:val="710"/>
        </w:trPr>
        <w:tc>
          <w:tcPr>
            <w:tcW w:w="276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734AE8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Przygotowanie krótkiej pracy pisemnej lub referatu po zapoznaniu się z niezbędną literaturą przedmiotu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both"/>
            </w:pPr>
            <w:r>
              <w:t>10</w:t>
            </w:r>
          </w:p>
        </w:tc>
      </w:tr>
      <w:tr w:rsidR="00734AE8">
        <w:trPr>
          <w:cantSplit/>
          <w:trHeight w:val="731"/>
        </w:trPr>
        <w:tc>
          <w:tcPr>
            <w:tcW w:w="276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734AE8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Przygotowanie projektu lub prezentacji na podany temat (praca w grupie)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734AE8">
            <w:pPr>
              <w:widowControl/>
              <w:snapToGrid w:val="0"/>
              <w:spacing w:line="276" w:lineRule="auto"/>
              <w:jc w:val="both"/>
            </w:pPr>
          </w:p>
        </w:tc>
      </w:tr>
      <w:tr w:rsidR="00734AE8">
        <w:trPr>
          <w:cantSplit/>
          <w:trHeight w:val="365"/>
        </w:trPr>
        <w:tc>
          <w:tcPr>
            <w:tcW w:w="276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734AE8">
            <w:pPr>
              <w:widowControl/>
              <w:snapToGrid w:val="0"/>
              <w:spacing w:line="276" w:lineRule="auto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Przygotowanie do egzaminu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both"/>
            </w:pPr>
            <w:r>
              <w:rPr>
                <w:rFonts w:eastAsia="Calibri"/>
              </w:rPr>
              <w:t xml:space="preserve">      </w:t>
            </w:r>
          </w:p>
        </w:tc>
      </w:tr>
      <w:tr w:rsidR="00734AE8">
        <w:trPr>
          <w:trHeight w:val="365"/>
        </w:trPr>
        <w:tc>
          <w:tcPr>
            <w:tcW w:w="85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Ogółem bilans czasu pracy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both"/>
            </w:pPr>
            <w:r>
              <w:t>75</w:t>
            </w:r>
          </w:p>
        </w:tc>
      </w:tr>
      <w:tr w:rsidR="00734AE8">
        <w:trPr>
          <w:trHeight w:val="392"/>
        </w:trPr>
        <w:tc>
          <w:tcPr>
            <w:tcW w:w="85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ind w:left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Ilość punktów ECTS w zależności od przyjętego przelicznika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93" w:type="dxa"/>
            </w:tcMar>
            <w:vAlign w:val="center"/>
          </w:tcPr>
          <w:p w:rsidR="00734AE8" w:rsidRDefault="008E6408">
            <w:pPr>
              <w:widowControl/>
              <w:snapToGrid w:val="0"/>
              <w:spacing w:line="276" w:lineRule="auto"/>
              <w:jc w:val="both"/>
            </w:pPr>
            <w:r>
              <w:rPr>
                <w:rFonts w:eastAsia="Calibri"/>
              </w:rPr>
              <w:t xml:space="preserve">       3</w:t>
            </w:r>
          </w:p>
        </w:tc>
      </w:tr>
    </w:tbl>
    <w:p w:rsidR="00734AE8" w:rsidRDefault="00734AE8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:rsidR="00734AE8" w:rsidRDefault="00734AE8"/>
    <w:sectPr w:rsidR="00734AE8">
      <w:headerReference w:type="default" r:id="rId8"/>
      <w:footerReference w:type="default" r:id="rId9"/>
      <w:pgSz w:w="11906" w:h="16838"/>
      <w:pgMar w:top="1276" w:right="1134" w:bottom="1134" w:left="1134" w:header="454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07" w:rsidRDefault="00C65307">
      <w:pPr>
        <w:spacing w:after="0" w:line="240" w:lineRule="auto"/>
      </w:pPr>
      <w:r>
        <w:separator/>
      </w:r>
    </w:p>
  </w:endnote>
  <w:endnote w:type="continuationSeparator" w:id="0">
    <w:p w:rsidR="00C65307" w:rsidRDefault="00C6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E8" w:rsidRDefault="00734AE8">
    <w:pPr>
      <w:pStyle w:val="Zawartotabeli"/>
      <w:snapToGrid w:val="0"/>
      <w:rPr>
        <w:rFonts w:ascii="Arial" w:hAnsi="Arial" w:cs="Arial"/>
        <w:sz w:val="22"/>
        <w:szCs w:val="16"/>
        <w:lang w:val="en-US"/>
      </w:rPr>
    </w:pPr>
  </w:p>
  <w:p w:rsidR="00734AE8" w:rsidRDefault="00734AE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07" w:rsidRDefault="00C65307">
      <w:pPr>
        <w:spacing w:after="0" w:line="240" w:lineRule="auto"/>
      </w:pPr>
      <w:r>
        <w:separator/>
      </w:r>
    </w:p>
  </w:footnote>
  <w:footnote w:type="continuationSeparator" w:id="0">
    <w:p w:rsidR="00C65307" w:rsidRDefault="00C6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E8" w:rsidRDefault="00734AE8">
    <w:pPr>
      <w:pStyle w:val="Nagwek1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9089F4"/>
    <w:multiLevelType w:val="singleLevel"/>
    <w:tmpl w:val="819089F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42208E"/>
    <w:multiLevelType w:val="multilevel"/>
    <w:tmpl w:val="034220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E2D2667"/>
    <w:multiLevelType w:val="multilevel"/>
    <w:tmpl w:val="2E2D2667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8F"/>
    <w:rsid w:val="000008EA"/>
    <w:rsid w:val="001068D1"/>
    <w:rsid w:val="001C2050"/>
    <w:rsid w:val="001D214F"/>
    <w:rsid w:val="0040064D"/>
    <w:rsid w:val="00432BCB"/>
    <w:rsid w:val="00734AE8"/>
    <w:rsid w:val="007A664F"/>
    <w:rsid w:val="008E6408"/>
    <w:rsid w:val="00900299"/>
    <w:rsid w:val="0093107E"/>
    <w:rsid w:val="00A41FDB"/>
    <w:rsid w:val="00B61C53"/>
    <w:rsid w:val="00C65307"/>
    <w:rsid w:val="00D158AF"/>
    <w:rsid w:val="00E36E8F"/>
    <w:rsid w:val="00F3715E"/>
    <w:rsid w:val="268379B0"/>
    <w:rsid w:val="32354742"/>
    <w:rsid w:val="323C0EE4"/>
    <w:rsid w:val="5E3A6BA9"/>
    <w:rsid w:val="667D109A"/>
    <w:rsid w:val="76C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Nagwek11">
    <w:name w:val="Nagłówek 11"/>
    <w:basedOn w:val="Normalny"/>
    <w:link w:val="Nagwek1Znak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qFormat/>
    <w:rPr>
      <w:rFonts w:ascii="Verdana" w:eastAsia="Times New Roman" w:hAnsi="Verdana" w:cs="Verdan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qFormat/>
    <w:rPr>
      <w:rFonts w:ascii="Arial" w:eastAsia="Times New Roman" w:hAnsi="Arial" w:cs="Arial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opka1">
    <w:name w:val="Stopka1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qFormat/>
    <w:rPr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910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Nr…………..</dc:title>
  <dc:creator>Przemek</dc:creator>
  <cp:lastModifiedBy>Katarzyna Gabrysiak</cp:lastModifiedBy>
  <cp:revision>8</cp:revision>
  <dcterms:created xsi:type="dcterms:W3CDTF">2018-09-15T20:12:00Z</dcterms:created>
  <dcterms:modified xsi:type="dcterms:W3CDTF">2019-02-18T11:44:00Z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1045-10.2.0.7587</vt:lpwstr>
  </property>
</Properties>
</file>