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1C" w:rsidRDefault="00B2751C" w:rsidP="00B2751C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2751C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2751C" w:rsidRDefault="00B2751C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2751C" w:rsidRPr="00DA7FC3" w:rsidRDefault="00B2751C" w:rsidP="007C49C4">
            <w:pPr>
              <w:pStyle w:val="Zawartotabeli"/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r w:rsidRPr="00DA7FC3">
              <w:rPr>
                <w:rFonts w:ascii="Arial" w:hAnsi="Arial" w:cs="Arial"/>
                <w:b/>
                <w:sz w:val="16"/>
                <w:szCs w:val="20"/>
              </w:rPr>
              <w:t>TEORIA PRZEKŁADU LITERACKIEGO</w:t>
            </w:r>
          </w:p>
        </w:tc>
      </w:tr>
      <w:tr w:rsidR="00B2751C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2751C" w:rsidRDefault="00B2751C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2751C" w:rsidRPr="00DA7FC3" w:rsidRDefault="00B2751C" w:rsidP="007C49C4">
            <w:pPr>
              <w:pStyle w:val="Zawartotabeli"/>
              <w:spacing w:before="60" w:after="60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Theory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Literary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Translation</w:t>
            </w:r>
            <w:proofErr w:type="spellEnd"/>
          </w:p>
        </w:tc>
      </w:tr>
    </w:tbl>
    <w:p w:rsidR="00B2751C" w:rsidRDefault="00B2751C" w:rsidP="00B2751C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2751C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1C" w:rsidTr="007C49C4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1C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1C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2751C" w:rsidRDefault="00156E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51C" w:rsidRDefault="00B2751C" w:rsidP="00B2751C">
      <w:pPr>
        <w:jc w:val="center"/>
        <w:rPr>
          <w:rFonts w:ascii="Arial" w:eastAsia="Calibri" w:hAnsi="Arial" w:cs="Arial"/>
          <w:sz w:val="20"/>
          <w:szCs w:val="20"/>
        </w:rPr>
      </w:pPr>
    </w:p>
    <w:p w:rsidR="00B2751C" w:rsidRPr="00F0511E" w:rsidRDefault="00B2751C" w:rsidP="00B2751C">
      <w:pPr>
        <w:rPr>
          <w:rFonts w:ascii="Arial" w:eastAsia="Calibri" w:hAnsi="Arial" w:cs="Arial"/>
          <w:sz w:val="20"/>
          <w:szCs w:val="16"/>
        </w:rPr>
      </w:pPr>
      <w:r w:rsidRPr="00F0511E">
        <w:rPr>
          <w:rFonts w:ascii="Arial" w:eastAsia="Calibri" w:hAnsi="Arial" w:cs="Arial"/>
          <w:sz w:val="20"/>
          <w:szCs w:val="16"/>
        </w:rPr>
        <w:t>Opis kursu (cele kształcenia)</w:t>
      </w:r>
    </w:p>
    <w:p w:rsidR="00B2751C" w:rsidRDefault="00B2751C" w:rsidP="00B2751C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2751C" w:rsidTr="007C49C4">
        <w:trPr>
          <w:trHeight w:val="920"/>
        </w:trPr>
        <w:tc>
          <w:tcPr>
            <w:tcW w:w="9640" w:type="dxa"/>
          </w:tcPr>
          <w:p w:rsidR="00B2751C" w:rsidRPr="000F2892" w:rsidRDefault="00B2751C" w:rsidP="007C49C4">
            <w:pPr>
              <w:rPr>
                <w:rFonts w:ascii="Arial" w:eastAsia="Calibri" w:hAnsi="Arial" w:cs="Arial"/>
                <w:szCs w:val="16"/>
              </w:rPr>
            </w:pPr>
            <w:r w:rsidRPr="000F2892">
              <w:rPr>
                <w:rFonts w:ascii="Arial" w:eastAsia="Calibri" w:hAnsi="Arial" w:cs="Arial"/>
                <w:sz w:val="20"/>
                <w:szCs w:val="16"/>
              </w:rPr>
              <w:t>Celem kursu jest zapoznanie studenta z historią teorii tłumaczenia artystycznego ze szczególnym uwzględnieniem tendencji współczesnych. Student poznaje różnorodne nurty charakteryzujące szeroko pojętą refleksję dotyczącą przekładu.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  <w:sz w:val="20"/>
          <w:szCs w:val="20"/>
        </w:rPr>
      </w:pPr>
    </w:p>
    <w:p w:rsidR="00B2751C" w:rsidRPr="00F0511E" w:rsidRDefault="00B2751C" w:rsidP="00B2751C">
      <w:pPr>
        <w:rPr>
          <w:rFonts w:ascii="Arial" w:eastAsia="Calibri" w:hAnsi="Arial" w:cs="Arial"/>
          <w:sz w:val="20"/>
          <w:szCs w:val="20"/>
        </w:rPr>
      </w:pPr>
      <w:r w:rsidRPr="00F0511E">
        <w:rPr>
          <w:rFonts w:ascii="Arial" w:eastAsia="Calibri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751C" w:rsidRPr="00F0511E" w:rsidTr="007C49C4">
        <w:trPr>
          <w:trHeight w:val="177"/>
        </w:trPr>
        <w:tc>
          <w:tcPr>
            <w:tcW w:w="1941" w:type="dxa"/>
            <w:shd w:val="clear" w:color="auto" w:fill="DBE5F1"/>
            <w:vAlign w:val="center"/>
          </w:tcPr>
          <w:p w:rsidR="00B2751C" w:rsidRPr="00F0511E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11E"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2751C" w:rsidRPr="00F0511E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11E">
              <w:rPr>
                <w:rFonts w:ascii="Arial" w:eastAsia="Calibri" w:hAnsi="Arial" w:cs="Arial"/>
                <w:sz w:val="20"/>
                <w:szCs w:val="20"/>
              </w:rPr>
              <w:t>Ogólna wiedza humanistyczna</w:t>
            </w:r>
          </w:p>
        </w:tc>
      </w:tr>
      <w:tr w:rsidR="00B2751C" w:rsidRPr="00F0511E" w:rsidTr="007C49C4">
        <w:trPr>
          <w:trHeight w:val="167"/>
        </w:trPr>
        <w:tc>
          <w:tcPr>
            <w:tcW w:w="1941" w:type="dxa"/>
            <w:shd w:val="clear" w:color="auto" w:fill="DBE5F1"/>
            <w:vAlign w:val="center"/>
          </w:tcPr>
          <w:p w:rsidR="00B2751C" w:rsidRPr="00F0511E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11E"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2751C" w:rsidRPr="00F0511E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11E">
              <w:rPr>
                <w:rFonts w:ascii="Arial" w:eastAsia="Calibri" w:hAnsi="Arial" w:cs="Arial"/>
                <w:sz w:val="20"/>
                <w:szCs w:val="20"/>
              </w:rPr>
              <w:t xml:space="preserve">Znajomość języka francuskiego </w:t>
            </w:r>
          </w:p>
        </w:tc>
      </w:tr>
      <w:tr w:rsidR="00B2751C" w:rsidRPr="00F0511E" w:rsidTr="007C49C4">
        <w:tc>
          <w:tcPr>
            <w:tcW w:w="1941" w:type="dxa"/>
            <w:shd w:val="clear" w:color="auto" w:fill="DBE5F1"/>
            <w:vAlign w:val="center"/>
          </w:tcPr>
          <w:p w:rsidR="00B2751C" w:rsidRPr="00F0511E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511E">
              <w:rPr>
                <w:rFonts w:ascii="Arial" w:eastAsia="Calibri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2751C" w:rsidRPr="00F0511E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p w:rsidR="00B2751C" w:rsidRPr="000F2892" w:rsidRDefault="00B2751C" w:rsidP="00B2751C">
      <w:pPr>
        <w:rPr>
          <w:rFonts w:ascii="Arial" w:eastAsia="Calibri" w:hAnsi="Arial" w:cs="Arial"/>
          <w:sz w:val="20"/>
          <w:szCs w:val="16"/>
        </w:rPr>
      </w:pPr>
      <w:r w:rsidRPr="000F2892">
        <w:rPr>
          <w:rFonts w:ascii="Arial" w:eastAsia="Calibri" w:hAnsi="Arial" w:cs="Arial"/>
          <w:sz w:val="20"/>
          <w:szCs w:val="16"/>
        </w:rPr>
        <w:t xml:space="preserve">Efekty </w:t>
      </w:r>
      <w:r w:rsidR="001E7C1D">
        <w:rPr>
          <w:rFonts w:ascii="Arial" w:eastAsia="Calibri" w:hAnsi="Arial" w:cs="Arial"/>
          <w:sz w:val="20"/>
          <w:szCs w:val="16"/>
        </w:rPr>
        <w:t>kształcenia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4988"/>
        <w:gridCol w:w="2274"/>
      </w:tblGrid>
      <w:tr w:rsidR="00B2751C" w:rsidTr="007C49C4">
        <w:trPr>
          <w:cantSplit/>
          <w:trHeight w:val="930"/>
        </w:trPr>
        <w:tc>
          <w:tcPr>
            <w:tcW w:w="1904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5079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Efekt </w:t>
            </w:r>
            <w:r w:rsidR="001E7C1D">
              <w:rPr>
                <w:rFonts w:ascii="Arial" w:eastAsia="Calibri" w:hAnsi="Arial" w:cs="Arial"/>
                <w:sz w:val="20"/>
                <w:szCs w:val="20"/>
              </w:rPr>
              <w:t>kształcenia</w:t>
            </w:r>
            <w:r w:rsidR="00156E97" w:rsidRPr="00156E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dla kursu</w:t>
            </w:r>
          </w:p>
        </w:tc>
        <w:tc>
          <w:tcPr>
            <w:tcW w:w="2301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751C" w:rsidTr="007C49C4">
        <w:trPr>
          <w:cantSplit/>
          <w:trHeight w:val="1838"/>
        </w:trPr>
        <w:tc>
          <w:tcPr>
            <w:tcW w:w="1904" w:type="dxa"/>
            <w:vMerge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B2751C" w:rsidRPr="008A5BE4" w:rsidRDefault="00B2751C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8A5BE4">
              <w:rPr>
                <w:rFonts w:ascii="Arial" w:eastAsia="Calibri" w:hAnsi="Arial" w:cs="Arial"/>
                <w:sz w:val="20"/>
                <w:szCs w:val="16"/>
              </w:rPr>
              <w:t>W01: Student ma uporządkowaną wiedzę z zakresu problematyki przekładu, zna metodologię analizy tekstów.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16"/>
              </w:rPr>
              <w:t>W02</w:t>
            </w:r>
            <w:r w:rsidRPr="008A5BE4">
              <w:rPr>
                <w:rFonts w:ascii="Arial" w:eastAsia="Calibri" w:hAnsi="Arial" w:cs="Arial"/>
                <w:sz w:val="20"/>
                <w:szCs w:val="16"/>
              </w:rPr>
              <w:t xml:space="preserve">: Zna na poziomie rozszerzonym terminologię z zakresu </w:t>
            </w:r>
            <w:proofErr w:type="spellStart"/>
            <w:r w:rsidRPr="00F0511E">
              <w:rPr>
                <w:rFonts w:ascii="Arial" w:eastAsia="MyriadPro-Regular" w:hAnsi="Arial" w:cs="Arial"/>
                <w:sz w:val="20"/>
                <w:szCs w:val="16"/>
              </w:rPr>
              <w:t>traduktologii</w:t>
            </w:r>
            <w:proofErr w:type="spellEnd"/>
            <w:r w:rsidRPr="00F0511E">
              <w:rPr>
                <w:rFonts w:ascii="Arial" w:eastAsia="MyriadPro-Regular" w:hAnsi="Arial" w:cs="Arial"/>
                <w:sz w:val="20"/>
                <w:szCs w:val="16"/>
              </w:rPr>
              <w:t>, translatoryki i przekładoznawstwa</w:t>
            </w:r>
          </w:p>
        </w:tc>
        <w:tc>
          <w:tcPr>
            <w:tcW w:w="2301" w:type="dxa"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K2_W03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K2_W02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p w:rsidR="00B2751C" w:rsidRDefault="00B2751C" w:rsidP="00B2751C">
      <w:pPr>
        <w:rPr>
          <w:rFonts w:ascii="Arial" w:eastAsia="Calibri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2751C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751C" w:rsidTr="007C49C4">
        <w:trPr>
          <w:cantSplit/>
          <w:trHeight w:val="2116"/>
        </w:trPr>
        <w:tc>
          <w:tcPr>
            <w:tcW w:w="1985" w:type="dxa"/>
            <w:vMerge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751C" w:rsidRPr="008A5BE4" w:rsidRDefault="00B2751C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8A5BE4">
              <w:rPr>
                <w:rFonts w:ascii="Arial" w:eastAsia="Calibri" w:hAnsi="Arial" w:cs="Arial"/>
                <w:sz w:val="20"/>
                <w:szCs w:val="16"/>
              </w:rPr>
              <w:t>U01: Student potrafi dokonać analizy różnorodnych typów przekładu na podstawie tekstów wykorzystywanych podczas zajęć.</w:t>
            </w:r>
          </w:p>
          <w:p w:rsidR="00B2751C" w:rsidRPr="008A5BE4" w:rsidRDefault="00B2751C" w:rsidP="007C49C4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8A5BE4">
              <w:rPr>
                <w:rFonts w:ascii="Arial" w:eastAsia="Calibri" w:hAnsi="Arial" w:cs="Arial"/>
                <w:sz w:val="20"/>
                <w:szCs w:val="16"/>
              </w:rPr>
              <w:t>U02: Posiada umiejętność merytorycznego argumentowania z wykorzystaniem własnych poglądów oraz poglądów innych autorów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K2_U02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K2_U06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4900"/>
        <w:gridCol w:w="2312"/>
      </w:tblGrid>
      <w:tr w:rsidR="00B2751C" w:rsidTr="007C49C4">
        <w:trPr>
          <w:cantSplit/>
          <w:trHeight w:val="800"/>
        </w:trPr>
        <w:tc>
          <w:tcPr>
            <w:tcW w:w="1941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00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Efekt </w:t>
            </w:r>
            <w:r w:rsidR="001E7C1D">
              <w:rPr>
                <w:rFonts w:ascii="Arial" w:eastAsia="Calibri" w:hAnsi="Arial" w:cs="Arial"/>
                <w:sz w:val="20"/>
                <w:szCs w:val="20"/>
              </w:rPr>
              <w:t>kształcenia</w:t>
            </w:r>
            <w:r w:rsidR="00156E97" w:rsidRPr="00156E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dla kursu</w:t>
            </w:r>
          </w:p>
        </w:tc>
        <w:tc>
          <w:tcPr>
            <w:tcW w:w="2341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751C" w:rsidTr="007C49C4">
        <w:trPr>
          <w:cantSplit/>
          <w:trHeight w:val="1984"/>
        </w:trPr>
        <w:tc>
          <w:tcPr>
            <w:tcW w:w="1941" w:type="dxa"/>
            <w:vMerge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02" w:type="dxa"/>
          </w:tcPr>
          <w:p w:rsidR="00B2751C" w:rsidRPr="00441BD6" w:rsidRDefault="00B2751C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441BD6">
              <w:rPr>
                <w:rFonts w:ascii="Arial" w:eastAsia="Calibri" w:hAnsi="Arial" w:cs="Arial"/>
                <w:sz w:val="20"/>
                <w:szCs w:val="16"/>
              </w:rPr>
              <w:t>K01: Student</w:t>
            </w:r>
            <w:r w:rsidRPr="0040712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0712F">
              <w:rPr>
                <w:rFonts w:ascii="Arial" w:eastAsia="MyriadPro-Regular" w:hAnsi="Arial" w:cs="Arial"/>
                <w:sz w:val="20"/>
                <w:szCs w:val="16"/>
              </w:rPr>
              <w:t>systematycznie dokształca się w wybranej dziedzinie oraz dokształca się w zakresie znajomości języków obcych</w:t>
            </w:r>
            <w:r w:rsidRPr="00441BD6">
              <w:rPr>
                <w:rFonts w:ascii="Arial" w:eastAsia="Calibri" w:hAnsi="Arial" w:cs="Arial"/>
                <w:sz w:val="20"/>
                <w:szCs w:val="16"/>
              </w:rPr>
              <w:t>.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1" w:type="dxa"/>
          </w:tcPr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K2_K02</w:t>
            </w:r>
          </w:p>
          <w:p w:rsidR="00B2751C" w:rsidRDefault="00B2751C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2751C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2751C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2751C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1C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51C" w:rsidTr="007C49C4">
        <w:trPr>
          <w:trHeight w:val="462"/>
        </w:trPr>
        <w:tc>
          <w:tcPr>
            <w:tcW w:w="1611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p w:rsidR="00B2751C" w:rsidRDefault="00B2751C" w:rsidP="00B2751C">
      <w:pPr>
        <w:rPr>
          <w:rFonts w:ascii="Arial" w:eastAsia="Calibri" w:hAnsi="Arial" w:cs="Arial"/>
          <w:szCs w:val="14"/>
        </w:rPr>
      </w:pPr>
      <w:r>
        <w:rPr>
          <w:rFonts w:ascii="Arial" w:eastAsia="Calibri" w:hAnsi="Arial" w:cs="Arial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2751C" w:rsidTr="007C49C4">
        <w:trPr>
          <w:trHeight w:val="956"/>
        </w:trPr>
        <w:tc>
          <w:tcPr>
            <w:tcW w:w="9284" w:type="dxa"/>
          </w:tcPr>
          <w:p w:rsidR="00B2751C" w:rsidRPr="005821EE" w:rsidRDefault="00B2751C" w:rsidP="007C49C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821EE">
              <w:rPr>
                <w:rFonts w:ascii="Arial" w:hAnsi="Arial" w:cs="Arial"/>
                <w:sz w:val="20"/>
                <w:szCs w:val="16"/>
              </w:rPr>
              <w:t>Zajęcia prowadzone w formie konwersatorium</w:t>
            </w:r>
            <w:r>
              <w:rPr>
                <w:rFonts w:ascii="Arial" w:hAnsi="Arial" w:cs="Arial"/>
                <w:sz w:val="20"/>
                <w:szCs w:val="16"/>
              </w:rPr>
              <w:t>,</w:t>
            </w:r>
            <w:r w:rsidRPr="005821EE">
              <w:rPr>
                <w:rFonts w:ascii="Arial" w:hAnsi="Arial" w:cs="Arial"/>
                <w:sz w:val="20"/>
                <w:szCs w:val="16"/>
              </w:rPr>
              <w:t xml:space="preserve"> podczas którego omawiane będą teksty teoretyczne z zakresu strategii przekładowych oraz analizowane będą teksty artystyczne pod kątem omawianych założeń teoretycznych.</w:t>
            </w:r>
          </w:p>
        </w:tc>
      </w:tr>
    </w:tbl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E7C1D">
        <w:rPr>
          <w:rFonts w:ascii="Arial" w:hAnsi="Arial" w:cs="Arial"/>
          <w:sz w:val="22"/>
          <w:szCs w:val="16"/>
        </w:rPr>
        <w:t>kształcenia</w:t>
      </w:r>
    </w:p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90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B2751C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2751C" w:rsidRDefault="00B2751C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</w:tr>
      <w:tr w:rsidR="00B2751C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  <w:tr w:rsidR="00B2751C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2751C" w:rsidRDefault="00B2751C" w:rsidP="007C49C4">
            <w:pPr>
              <w:rPr>
                <w:rFonts w:ascii="Arial" w:eastAsia="Calibri" w:hAnsi="Arial" w:cs="Arial"/>
              </w:rPr>
            </w:pPr>
          </w:p>
        </w:tc>
      </w:tr>
    </w:tbl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p w:rsidR="00B2751C" w:rsidRDefault="00B2751C" w:rsidP="00B2751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751C" w:rsidTr="007C49C4">
        <w:tc>
          <w:tcPr>
            <w:tcW w:w="1941" w:type="dxa"/>
            <w:shd w:val="clear" w:color="auto" w:fill="DBE5F1"/>
            <w:vAlign w:val="center"/>
          </w:tcPr>
          <w:p w:rsidR="00B2751C" w:rsidRDefault="00B2751C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2751C" w:rsidRPr="000D1D21" w:rsidRDefault="00B2751C" w:rsidP="007C49C4">
            <w:pPr>
              <w:pStyle w:val="Zawartotabeli"/>
              <w:spacing w:before="57" w:after="57"/>
              <w:rPr>
                <w:rFonts w:ascii="Arial" w:hAnsi="Arial" w:cs="Arial"/>
                <w:sz w:val="18"/>
                <w:szCs w:val="16"/>
              </w:rPr>
            </w:pPr>
            <w:r w:rsidRPr="000D1D21">
              <w:rPr>
                <w:rFonts w:ascii="Arial" w:hAnsi="Arial" w:cs="Arial"/>
                <w:sz w:val="20"/>
                <w:szCs w:val="16"/>
              </w:rPr>
              <w:t xml:space="preserve">Konwersatorium kończy się </w:t>
            </w:r>
            <w:r w:rsidR="00156E97">
              <w:rPr>
                <w:rFonts w:ascii="Arial" w:hAnsi="Arial" w:cs="Arial"/>
                <w:sz w:val="20"/>
                <w:szCs w:val="16"/>
              </w:rPr>
              <w:t>zaliczeniem na ocenę</w:t>
            </w:r>
            <w:r w:rsidRPr="000D1D21">
              <w:rPr>
                <w:rFonts w:ascii="Arial" w:hAnsi="Arial" w:cs="Arial"/>
                <w:sz w:val="20"/>
                <w:szCs w:val="16"/>
              </w:rPr>
              <w:t xml:space="preserve">. W skład oceny wchodzi obecność studenta na zajęciach oraz jego aktywne uczestnictwo w dyskusji, oraz wiedza sprawdzona podczas dyskusji z </w:t>
            </w:r>
            <w:r w:rsidR="00156E97">
              <w:rPr>
                <w:rFonts w:ascii="Arial" w:hAnsi="Arial" w:cs="Arial"/>
                <w:sz w:val="20"/>
                <w:szCs w:val="16"/>
              </w:rPr>
              <w:t>wykładowcą</w:t>
            </w:r>
            <w:r w:rsidRPr="000D1D21">
              <w:rPr>
                <w:rFonts w:ascii="Arial" w:hAnsi="Arial" w:cs="Arial"/>
                <w:sz w:val="20"/>
                <w:szCs w:val="16"/>
              </w:rPr>
              <w:t xml:space="preserve"> z zakresu poruszanych podczas zajęć tematów.</w:t>
            </w:r>
          </w:p>
          <w:p w:rsidR="00B2751C" w:rsidRDefault="00B2751C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2751C" w:rsidTr="007C49C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2751C" w:rsidRDefault="00B2751C" w:rsidP="007C49C4">
            <w:pPr>
              <w:spacing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2751C" w:rsidRPr="000D1D21" w:rsidRDefault="00B2751C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0D1D21">
              <w:rPr>
                <w:rFonts w:ascii="Arial" w:hAnsi="Arial" w:cs="Arial"/>
                <w:sz w:val="20"/>
                <w:szCs w:val="16"/>
              </w:rPr>
              <w:t>Konwersatorium odbywa się w języku francuskim i polskim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p w:rsidR="00B2751C" w:rsidRDefault="00B2751C" w:rsidP="00B2751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2751C" w:rsidTr="007C49C4">
        <w:trPr>
          <w:trHeight w:val="1136"/>
        </w:trPr>
        <w:tc>
          <w:tcPr>
            <w:tcW w:w="9284" w:type="dxa"/>
          </w:tcPr>
          <w:p w:rsidR="00B2751C" w:rsidRPr="00812E20" w:rsidRDefault="00B2751C" w:rsidP="00B275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Czym jest przekład literacki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2E20">
              <w:rPr>
                <w:rFonts w:ascii="Arial" w:eastAsia="Calibri" w:hAnsi="Arial" w:cs="Arial"/>
                <w:sz w:val="20"/>
                <w:szCs w:val="20"/>
              </w:rPr>
              <w:t>Przekładalność – nieprzekładalność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614247">
              <w:rPr>
                <w:rFonts w:ascii="Arial" w:eastAsia="Calibri" w:hAnsi="Arial" w:cs="Arial"/>
                <w:bCs/>
                <w:sz w:val="20"/>
                <w:szCs w:val="16"/>
              </w:rPr>
              <w:t>interferencja, kalki, fałszywi przyjaciele, kolokacje, związki frazeologiczne, archaizmy, neologizmy</w:t>
            </w:r>
            <w:r>
              <w:rPr>
                <w:rFonts w:ascii="Arial" w:eastAsia="Calibri" w:hAnsi="Arial" w:cs="Arial"/>
                <w:bCs/>
                <w:sz w:val="20"/>
                <w:szCs w:val="16"/>
              </w:rPr>
              <w:t>)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2E20">
              <w:rPr>
                <w:rFonts w:ascii="Arial" w:eastAsia="Calibri" w:hAnsi="Arial" w:cs="Arial"/>
                <w:sz w:val="20"/>
                <w:szCs w:val="20"/>
              </w:rPr>
              <w:t>Tłumaczenie dosłowne i adaptacja</w:t>
            </w:r>
          </w:p>
          <w:p w:rsidR="00B2751C" w:rsidRDefault="00B2751C" w:rsidP="00B275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2E20">
              <w:rPr>
                <w:rFonts w:ascii="Arial" w:eastAsia="Calibri" w:hAnsi="Arial" w:cs="Arial"/>
                <w:sz w:val="20"/>
                <w:szCs w:val="20"/>
              </w:rPr>
              <w:t>Ekwiwalencja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2E20">
              <w:rPr>
                <w:rFonts w:ascii="Arial" w:eastAsia="Calibri" w:hAnsi="Arial" w:cs="Arial"/>
                <w:sz w:val="20"/>
                <w:szCs w:val="20"/>
              </w:rPr>
              <w:t>Ideologia w tłumaczeniu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2751C" w:rsidTr="007C49C4">
        <w:trPr>
          <w:trHeight w:val="1098"/>
        </w:trPr>
        <w:tc>
          <w:tcPr>
            <w:tcW w:w="9284" w:type="dxa"/>
          </w:tcPr>
          <w:p w:rsidR="00B2751C" w:rsidRDefault="00B2751C" w:rsidP="00B275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812E20">
              <w:rPr>
                <w:rFonts w:ascii="Arial" w:eastAsia="Calibri" w:hAnsi="Arial" w:cs="Arial"/>
                <w:sz w:val="20"/>
                <w:szCs w:val="16"/>
              </w:rPr>
              <w:t xml:space="preserve">Urszula </w:t>
            </w:r>
            <w:proofErr w:type="spellStart"/>
            <w:r w:rsidRPr="00812E20">
              <w:rPr>
                <w:rFonts w:ascii="Arial" w:eastAsia="Calibri" w:hAnsi="Arial" w:cs="Arial"/>
                <w:sz w:val="20"/>
                <w:szCs w:val="16"/>
              </w:rPr>
              <w:t>Dąmbska</w:t>
            </w:r>
            <w:proofErr w:type="spellEnd"/>
            <w:r w:rsidRPr="00812E20">
              <w:rPr>
                <w:rFonts w:ascii="Arial" w:eastAsia="Calibri" w:hAnsi="Arial" w:cs="Arial"/>
                <w:sz w:val="20"/>
                <w:szCs w:val="16"/>
              </w:rPr>
              <w:t xml:space="preserve">-Prokop </w:t>
            </w:r>
            <w:r w:rsidRPr="00812E20">
              <w:rPr>
                <w:rFonts w:ascii="Arial" w:eastAsia="Calibri" w:hAnsi="Arial" w:cs="Arial"/>
                <w:i/>
                <w:sz w:val="20"/>
                <w:szCs w:val="16"/>
              </w:rPr>
              <w:t>Nowa encyklopedia przekładoznawstwa</w:t>
            </w:r>
            <w:r w:rsidRPr="00812E20">
              <w:rPr>
                <w:rFonts w:ascii="Arial" w:eastAsia="Calibri" w:hAnsi="Arial" w:cs="Arial"/>
                <w:sz w:val="20"/>
                <w:szCs w:val="16"/>
              </w:rPr>
              <w:t>, Kielce 2010</w:t>
            </w:r>
          </w:p>
          <w:p w:rsidR="00B2751C" w:rsidRPr="00682435" w:rsidRDefault="00B2751C" w:rsidP="00B275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</w:rPr>
              <w:t>Jolanta Kozak,</w:t>
            </w:r>
            <w:r w:rsidRPr="00682435">
              <w:rPr>
                <w:rFonts w:ascii="Arial" w:eastAsia="Calibri" w:hAnsi="Arial" w:cs="Arial"/>
                <w:sz w:val="20"/>
              </w:rPr>
              <w:t xml:space="preserve"> </w:t>
            </w:r>
            <w:r w:rsidRPr="00682435">
              <w:rPr>
                <w:rFonts w:ascii="Arial" w:eastAsia="Calibri" w:hAnsi="Arial" w:cs="Arial"/>
                <w:i/>
                <w:sz w:val="20"/>
              </w:rPr>
              <w:t>Przekład literacki jako metafora</w:t>
            </w:r>
            <w:r w:rsidRPr="00682435">
              <w:rPr>
                <w:rFonts w:ascii="Arial" w:eastAsia="Calibri" w:hAnsi="Arial" w:cs="Arial"/>
                <w:sz w:val="20"/>
              </w:rPr>
              <w:t>,</w:t>
            </w:r>
            <w:r>
              <w:rPr>
                <w:rFonts w:ascii="Arial" w:eastAsia="Calibri" w:hAnsi="Arial" w:cs="Arial"/>
                <w:sz w:val="20"/>
              </w:rPr>
              <w:t xml:space="preserve"> 2009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proofErr w:type="spellStart"/>
            <w:r w:rsidRPr="00812E20">
              <w:rPr>
                <w:rFonts w:ascii="Arial" w:eastAsia="Calibri" w:hAnsi="Arial" w:cs="Arial"/>
                <w:sz w:val="20"/>
                <w:szCs w:val="16"/>
              </w:rPr>
              <w:t>P.Bukowski</w:t>
            </w:r>
            <w:proofErr w:type="spellEnd"/>
            <w:r w:rsidRPr="00812E20">
              <w:rPr>
                <w:rFonts w:ascii="Arial" w:eastAsia="Calibri" w:hAnsi="Arial" w:cs="Arial"/>
                <w:sz w:val="20"/>
                <w:szCs w:val="16"/>
              </w:rPr>
              <w:t xml:space="preserve">, </w:t>
            </w:r>
            <w:proofErr w:type="spellStart"/>
            <w:r w:rsidRPr="00812E20">
              <w:rPr>
                <w:rFonts w:ascii="Arial" w:eastAsia="Calibri" w:hAnsi="Arial" w:cs="Arial"/>
                <w:sz w:val="20"/>
                <w:szCs w:val="16"/>
              </w:rPr>
              <w:t>M.Heydel</w:t>
            </w:r>
            <w:proofErr w:type="spellEnd"/>
            <w:r w:rsidRPr="00812E20">
              <w:rPr>
                <w:rFonts w:ascii="Arial" w:eastAsia="Calibri" w:hAnsi="Arial" w:cs="Arial"/>
                <w:sz w:val="20"/>
                <w:szCs w:val="16"/>
              </w:rPr>
              <w:t xml:space="preserve"> (red.) </w:t>
            </w:r>
            <w:r w:rsidRPr="00812E20">
              <w:rPr>
                <w:rFonts w:ascii="Arial" w:eastAsia="Calibri" w:hAnsi="Arial" w:cs="Arial"/>
                <w:i/>
                <w:sz w:val="20"/>
                <w:szCs w:val="16"/>
              </w:rPr>
              <w:t>Współczesne teorie przekładu</w:t>
            </w:r>
            <w:r w:rsidRPr="00812E20">
              <w:rPr>
                <w:rFonts w:ascii="Arial" w:eastAsia="Calibri" w:hAnsi="Arial" w:cs="Arial"/>
                <w:sz w:val="20"/>
                <w:szCs w:val="16"/>
              </w:rPr>
              <w:t>, Kraków 2009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Arial"/>
                <w:szCs w:val="16"/>
              </w:rPr>
            </w:pPr>
            <w:r w:rsidRPr="00812E20">
              <w:rPr>
                <w:rFonts w:ascii="Arial" w:eastAsia="Calibri" w:hAnsi="Arial" w:cs="Arial"/>
                <w:sz w:val="20"/>
                <w:szCs w:val="16"/>
              </w:rPr>
              <w:t xml:space="preserve">Jerzy Brzozowski </w:t>
            </w:r>
            <w:r w:rsidRPr="00812E20">
              <w:rPr>
                <w:rFonts w:ascii="Arial" w:eastAsia="Calibri" w:hAnsi="Arial" w:cs="Arial"/>
                <w:i/>
                <w:sz w:val="20"/>
                <w:szCs w:val="16"/>
              </w:rPr>
              <w:t xml:space="preserve">Stanąć po stronie tłumacza </w:t>
            </w:r>
            <w:r w:rsidRPr="00812E20">
              <w:rPr>
                <w:rFonts w:ascii="Arial" w:eastAsia="Calibri" w:hAnsi="Arial" w:cs="Arial"/>
                <w:sz w:val="20"/>
                <w:szCs w:val="16"/>
              </w:rPr>
              <w:t>Kraków, 2011</w:t>
            </w:r>
          </w:p>
        </w:tc>
      </w:tr>
    </w:tbl>
    <w:p w:rsidR="00B2751C" w:rsidRDefault="00B2751C" w:rsidP="00B2751C">
      <w:pPr>
        <w:rPr>
          <w:rFonts w:ascii="Arial" w:eastAsia="Calibri" w:hAnsi="Arial" w:cs="Arial"/>
          <w:szCs w:val="16"/>
        </w:rPr>
      </w:pPr>
    </w:p>
    <w:p w:rsidR="00B2751C" w:rsidRDefault="00B2751C" w:rsidP="00B2751C">
      <w:pPr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2751C" w:rsidRPr="00812E20" w:rsidTr="007C49C4">
        <w:trPr>
          <w:trHeight w:val="1112"/>
        </w:trPr>
        <w:tc>
          <w:tcPr>
            <w:tcW w:w="9284" w:type="dxa"/>
          </w:tcPr>
          <w:p w:rsidR="00B2751C" w:rsidRPr="00812E20" w:rsidRDefault="00B2751C" w:rsidP="00B2751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16"/>
                <w:lang w:val="fr-FR"/>
              </w:rPr>
            </w:pP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lastRenderedPageBreak/>
              <w:t xml:space="preserve">Georges </w:t>
            </w:r>
            <w:proofErr w:type="spellStart"/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>Mounin</w:t>
            </w:r>
            <w:proofErr w:type="spellEnd"/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,</w:t>
            </w: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 </w:t>
            </w:r>
            <w:r w:rsidRPr="00812E20">
              <w:rPr>
                <w:rFonts w:ascii="Arial" w:eastAsia="Calibri" w:hAnsi="Arial" w:cs="Arial"/>
                <w:i/>
                <w:sz w:val="20"/>
                <w:szCs w:val="16"/>
                <w:lang w:val="fr-FR"/>
              </w:rPr>
              <w:t>Problèmes théoriques de la traduction</w:t>
            </w: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>, Paris 1963</w:t>
            </w:r>
          </w:p>
          <w:p w:rsidR="00B2751C" w:rsidRDefault="00B2751C" w:rsidP="00B2751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Arial"/>
                <w:szCs w:val="16"/>
                <w:lang w:val="fr-FR"/>
              </w:rPr>
            </w:pP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M. </w:t>
            </w:r>
            <w:proofErr w:type="spellStart"/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>Lederer</w:t>
            </w:r>
            <w:proofErr w:type="spellEnd"/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,</w:t>
            </w: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 </w:t>
            </w:r>
            <w:r w:rsidRPr="00812E20">
              <w:rPr>
                <w:rFonts w:ascii="Arial" w:eastAsia="Calibri" w:hAnsi="Arial" w:cs="Arial"/>
                <w:i/>
                <w:sz w:val="20"/>
                <w:szCs w:val="16"/>
                <w:lang w:val="fr-FR"/>
              </w:rPr>
              <w:t xml:space="preserve">La traduction aujourd’hui </w:t>
            </w:r>
            <w:r w:rsidRPr="00812E20">
              <w:rPr>
                <w:rFonts w:ascii="Arial" w:eastAsia="Calibri" w:hAnsi="Arial" w:cs="Arial"/>
                <w:sz w:val="20"/>
                <w:szCs w:val="16"/>
                <w:lang w:val="fr-FR"/>
              </w:rPr>
              <w:t>, Paris 1994</w:t>
            </w:r>
          </w:p>
          <w:p w:rsidR="00B2751C" w:rsidRPr="00682435" w:rsidRDefault="00B2751C" w:rsidP="00B2751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Arial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Salah Mejri,</w:t>
            </w:r>
            <w:r w:rsidRPr="00682435">
              <w:rPr>
                <w:rFonts w:ascii="Arial" w:eastAsia="Calibri" w:hAnsi="Arial" w:cs="Arial"/>
                <w:i/>
                <w:sz w:val="20"/>
                <w:szCs w:val="16"/>
                <w:lang w:val="fr-FR"/>
              </w:rPr>
              <w:t> Traduire, c'est gérer un déficit</w:t>
            </w:r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,</w:t>
            </w:r>
            <w:r w:rsidRPr="00682435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682435">
              <w:rPr>
                <w:rFonts w:ascii="Arial" w:eastAsia="Calibri" w:hAnsi="Arial" w:cs="Arial"/>
                <w:sz w:val="20"/>
                <w:szCs w:val="16"/>
                <w:lang w:val="fr-FR"/>
              </w:rPr>
              <w:t>i</w:t>
            </w:r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n:</w:t>
            </w:r>
            <w:r w:rsidRPr="00682435">
              <w:rPr>
                <w:rFonts w:ascii="Arial" w:eastAsia="Calibri" w:hAnsi="Arial" w:cs="Arial"/>
                <w:sz w:val="20"/>
                <w:szCs w:val="16"/>
                <w:lang w:val="fr-FR"/>
              </w:rPr>
              <w:t>n</w:t>
            </w:r>
            <w:proofErr w:type="spellEnd"/>
            <w:r w:rsidRPr="00682435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 </w:t>
            </w:r>
            <w:r w:rsidRPr="00682435">
              <w:rPr>
                <w:rFonts w:ascii="Arial" w:eastAsia="Calibri" w:hAnsi="Arial" w:cs="Arial"/>
                <w:i/>
                <w:sz w:val="20"/>
                <w:szCs w:val="16"/>
                <w:lang w:val="fr-FR"/>
              </w:rPr>
              <w:t>Meta 50</w:t>
            </w:r>
            <w:r w:rsidRPr="00682435">
              <w:rPr>
                <w:rFonts w:ascii="Arial" w:eastAsia="Calibri" w:hAnsi="Arial" w:cs="Arial"/>
                <w:sz w:val="20"/>
                <w:szCs w:val="16"/>
                <w:lang w:val="fr-FR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16"/>
                <w:lang w:val="fr-FR"/>
              </w:rPr>
              <w:t>2005</w:t>
            </w:r>
          </w:p>
          <w:p w:rsidR="00B2751C" w:rsidRPr="00812E20" w:rsidRDefault="00B2751C" w:rsidP="00B2751C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Calibri" w:eastAsia="Calibri" w:hAnsi="Calibri" w:cs="Arial"/>
                <w:szCs w:val="16"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16"/>
                <w:lang w:val="fr-FR" w:eastAsia="fr-FR"/>
              </w:rPr>
              <w:t>Jean-Luis</w:t>
            </w:r>
            <w:proofErr w:type="spellEnd"/>
            <w:r>
              <w:rPr>
                <w:rFonts w:ascii="Arial" w:eastAsia="Calibri" w:hAnsi="Arial" w:cs="Arial"/>
                <w:sz w:val="20"/>
                <w:szCs w:val="16"/>
                <w:lang w:val="fr-FR" w:eastAsia="fr-FR"/>
              </w:rPr>
              <w:t xml:space="preserve"> Cordonnier</w:t>
            </w:r>
            <w:r w:rsidRPr="00682435">
              <w:rPr>
                <w:rFonts w:ascii="Arial" w:eastAsia="Calibri" w:hAnsi="Arial" w:cs="Arial"/>
                <w:sz w:val="20"/>
                <w:szCs w:val="16"/>
                <w:lang w:val="fr-FR" w:eastAsia="fr-FR"/>
              </w:rPr>
              <w:t xml:space="preserve">, </w:t>
            </w:r>
            <w:r w:rsidRPr="00682435">
              <w:rPr>
                <w:rFonts w:ascii="Arial" w:eastAsia="Calibri" w:hAnsi="Arial" w:cs="Arial"/>
                <w:i/>
                <w:iCs/>
                <w:sz w:val="20"/>
                <w:szCs w:val="16"/>
                <w:lang w:val="fr-FR" w:eastAsia="fr-FR"/>
              </w:rPr>
              <w:t>Traduction et culture</w:t>
            </w:r>
            <w:r w:rsidRPr="00682435">
              <w:rPr>
                <w:rFonts w:ascii="Arial" w:eastAsia="Calibri" w:hAnsi="Arial" w:cs="Arial"/>
                <w:sz w:val="20"/>
                <w:szCs w:val="16"/>
                <w:lang w:val="fr-FR" w:eastAsia="fr-FR"/>
              </w:rPr>
              <w:t>, Hatier-Didier 1995, Paris, coll. LAL</w:t>
            </w:r>
          </w:p>
        </w:tc>
      </w:tr>
    </w:tbl>
    <w:p w:rsidR="00B2751C" w:rsidRPr="00812E20" w:rsidRDefault="00B2751C" w:rsidP="00B2751C">
      <w:pPr>
        <w:pStyle w:val="Tekstdymka1"/>
        <w:rPr>
          <w:rFonts w:ascii="Arial" w:hAnsi="Arial" w:cs="Arial"/>
          <w:sz w:val="22"/>
          <w:lang w:val="fr-FR"/>
        </w:rPr>
      </w:pPr>
    </w:p>
    <w:p w:rsidR="00B2751C" w:rsidRPr="004861B9" w:rsidRDefault="00B2751C" w:rsidP="00B2751C">
      <w:pPr>
        <w:pStyle w:val="Tekstdymka1"/>
        <w:rPr>
          <w:rFonts w:ascii="Arial" w:hAnsi="Arial" w:cs="Arial"/>
          <w:sz w:val="20"/>
        </w:rPr>
      </w:pPr>
      <w:r w:rsidRPr="004861B9">
        <w:rPr>
          <w:rFonts w:ascii="Arial" w:hAnsi="Arial" w:cs="Arial"/>
          <w:sz w:val="20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B2751C" w:rsidTr="007C49C4">
        <w:trPr>
          <w:cantSplit/>
          <w:trHeight w:val="334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548" w:type="dxa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50" w:type="dxa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751C" w:rsidTr="007C49C4">
        <w:trPr>
          <w:cantSplit/>
          <w:trHeight w:val="332"/>
        </w:trPr>
        <w:tc>
          <w:tcPr>
            <w:tcW w:w="2690" w:type="dxa"/>
            <w:vMerge/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50" w:type="dxa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B2751C" w:rsidTr="007C49C4">
        <w:trPr>
          <w:cantSplit/>
          <w:trHeight w:val="670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B2751C" w:rsidTr="007C49C4">
        <w:trPr>
          <w:cantSplit/>
          <w:trHeight w:val="348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B2751C" w:rsidRDefault="00B2751C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548" w:type="dxa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50" w:type="dxa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B2751C" w:rsidTr="007C49C4">
        <w:trPr>
          <w:cantSplit/>
          <w:trHeight w:val="710"/>
        </w:trPr>
        <w:tc>
          <w:tcPr>
            <w:tcW w:w="2690" w:type="dxa"/>
            <w:vMerge/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50" w:type="dxa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B2751C" w:rsidTr="007C49C4">
        <w:trPr>
          <w:cantSplit/>
          <w:trHeight w:val="731"/>
        </w:trPr>
        <w:tc>
          <w:tcPr>
            <w:tcW w:w="2690" w:type="dxa"/>
            <w:vMerge/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50" w:type="dxa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751C" w:rsidTr="007C49C4">
        <w:trPr>
          <w:cantSplit/>
          <w:trHeight w:val="365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B2751C" w:rsidRDefault="00156E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B2751C" w:rsidTr="007C49C4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50" w:type="dxa"/>
            <w:vAlign w:val="center"/>
          </w:tcPr>
          <w:p w:rsidR="00B2751C" w:rsidRDefault="00156E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B2751C" w:rsidTr="007C49C4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B2751C" w:rsidRDefault="00B2751C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50" w:type="dxa"/>
            <w:vAlign w:val="center"/>
          </w:tcPr>
          <w:p w:rsidR="00B2751C" w:rsidRDefault="00156E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0F2D"/>
    <w:multiLevelType w:val="hybridMultilevel"/>
    <w:tmpl w:val="B65C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2DF3"/>
    <w:multiLevelType w:val="hybridMultilevel"/>
    <w:tmpl w:val="F1A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E2D"/>
    <w:multiLevelType w:val="hybridMultilevel"/>
    <w:tmpl w:val="B18C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1C"/>
    <w:rsid w:val="00156E97"/>
    <w:rsid w:val="00185CBC"/>
    <w:rsid w:val="001E7C1D"/>
    <w:rsid w:val="00B2751C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8E0B-0A2D-461C-9F59-5368E0B7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1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2751C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51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275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2751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E088-03B9-4917-8F14-1A457A6B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2018-06-12T16:34:00Z</dcterms:created>
  <dcterms:modified xsi:type="dcterms:W3CDTF">2019-02-18T11:51:00Z</dcterms:modified>
</cp:coreProperties>
</file>