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EF" w:rsidRDefault="004C44EF" w:rsidP="004C44EF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44EF" w:rsidRDefault="004C44EF" w:rsidP="004C44E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:rsidR="004C44EF" w:rsidRDefault="004C44EF" w:rsidP="004C44E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4C44EF" w:rsidTr="004C44EF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Literatura fantastyczna XIX i XX w. </w:t>
            </w:r>
          </w:p>
        </w:tc>
      </w:tr>
      <w:tr w:rsidR="004C44EF" w:rsidRPr="004C44EF" w:rsidTr="004C44EF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Fantasy Literature of 19th and 20th Century</w:t>
            </w: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4C44EF" w:rsidTr="004C44EF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C44EF" w:rsidRDefault="004C44EF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4C44EF" w:rsidTr="004C44EF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Beata Kołodziejczyk-Mróz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Paul M. Langner</w:t>
            </w:r>
          </w:p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Angela Bajorek</w:t>
            </w:r>
          </w:p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Aleksandra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Bednarowska</w:t>
            </w:r>
            <w:proofErr w:type="spellEnd"/>
          </w:p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C44EF" w:rsidTr="004C44EF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zajęć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przedstawienie najważniejszych tendencji rozwojowych w obszarze niemieckojęzycznej literatury fantastycznej w XIX i XX w.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potrafi: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wyjaśnić najważniejsze teorie literatury fantastycznej oraz zdefiniować jej kryteria;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analizować i interpretować teksty literackie z zakresu literatury fantastycznej;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umiejscowić utwór w procesie historycznoliterackim;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formułować wypowiedzi teoretycznoliterackie.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prowadzony jest w j. niemieckim.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C44EF" w:rsidTr="004C44EF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teorii literatury, historii literatury niemieckojęzycznej oraz procesów historycznoliterackich na poziomie studiów filologii germańskiej I stopnia</w:t>
            </w:r>
          </w:p>
        </w:tc>
      </w:tr>
      <w:tr w:rsidR="004C44EF" w:rsidTr="004C44EF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Umiejętność analizy tekstów literackich, kompetencje językowe na poziomie C1</w:t>
            </w:r>
          </w:p>
        </w:tc>
      </w:tr>
      <w:tr w:rsidR="004C44EF" w:rsidTr="004C44EF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 literaturoznawcze na studiach I stopnia z zakresu filologii germańskiej</w:t>
            </w:r>
          </w:p>
          <w:p w:rsidR="004C44EF" w:rsidRDefault="004C44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5080"/>
        <w:gridCol w:w="2300"/>
      </w:tblGrid>
      <w:tr w:rsidR="004C44EF" w:rsidTr="004C44EF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4C44EF" w:rsidTr="004C44EF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W01: </w:t>
            </w:r>
            <w:r>
              <w:rPr>
                <w:rFonts w:ascii="Times New Roman" w:eastAsia="Calibri" w:hAnsi="Times New Roman" w:cs="Times New Roman"/>
              </w:rPr>
              <w:t>posiada pogłębioną i rozszerzoną wiedzę o specyfice przedmiotowej i metodologicznej w zakresie filologii, którą jest w stanie rozwijać i twórczo stosować w działalności profesjonalnej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W02: </w:t>
            </w:r>
            <w:r>
              <w:rPr>
                <w:rFonts w:ascii="Times New Roman" w:eastAsia="Calibri" w:hAnsi="Times New Roman" w:cs="Times New Roman"/>
              </w:rPr>
              <w:t>posiada pogłębioną wiedzę i zrozumienie metod analizy, interpretacji, wartościowania i problematyzowania, różnych wytworów kultury właściwe dla wybranych tradycji, teorii lub szkół badawczych w zakresie filologii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K2_W01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K2_W05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4C44EF" w:rsidTr="004C44EF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4C44EF" w:rsidTr="004C44EF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U01: </w:t>
            </w:r>
            <w:r>
              <w:rPr>
                <w:rFonts w:ascii="Times New Roman" w:eastAsia="Calibri" w:hAnsi="Times New Roman" w:cs="Times New Roman"/>
              </w:rPr>
              <w:t>wyszukuje, analizuje, ocenia, selekcjonuje i użytkuje informację z wykorzystaniem różnych źródeł oraz formułować na tej podstawie krytyczne sądy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U02: </w:t>
            </w:r>
            <w:r>
              <w:rPr>
                <w:rFonts w:ascii="Times New Roman" w:eastAsia="Calibri" w:hAnsi="Times New Roman" w:cs="Times New Roman"/>
              </w:rPr>
              <w:t>formułuje i analizuje problemy badawcze w zakresie językoznawstwa (w tym językoznawstwa stosowanego), literaturoznawstwa oraz kultury i historii krajów danego obszaru językowego w sposób pogłębiony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U03: </w:t>
            </w:r>
            <w:r>
              <w:rPr>
                <w:rFonts w:ascii="Times New Roman" w:eastAsia="Calibri" w:hAnsi="Times New Roman" w:cs="Times New Roman"/>
              </w:rPr>
              <w:t>argumentuje w sposób merytoryczny z wykorzystaniem własnych poglądów oraz poglądów innych autorów, tworzy syntetyczne podsumowania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K2_U01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K2_U02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K2_U06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5001"/>
        <w:gridCol w:w="2341"/>
      </w:tblGrid>
      <w:tr w:rsidR="004C44EF" w:rsidTr="004C44EF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4C44EF" w:rsidTr="004C44EF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C44EF" w:rsidRDefault="004C4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yriadPro-Regular" w:hAnsi="Times New Roman" w:cs="Times New Roman"/>
                <w:color w:val="1A171B"/>
                <w:lang w:eastAsia="pl-PL"/>
              </w:rPr>
              <w:t xml:space="preserve">K01: </w:t>
            </w:r>
            <w:r>
              <w:rPr>
                <w:rFonts w:ascii="Times New Roman" w:eastAsia="Calibri" w:hAnsi="Times New Roman" w:cs="Times New Roman"/>
              </w:rPr>
              <w:t xml:space="preserve">rozumie znaczenie wiedzy w rozwiązywaniu problemów </w:t>
            </w:r>
          </w:p>
          <w:p w:rsidR="004C44EF" w:rsidRDefault="004C4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Times New Roman" w:eastAsia="MyriadPro-Regular" w:hAnsi="Times New Roman" w:cs="Times New Roman"/>
                <w:color w:val="1A171B"/>
                <w:lang w:eastAsia="pl-PL"/>
              </w:rPr>
              <w:t>K02: systematycznie uczestniczy w życiu kulturalnym, interesuje się aktualnymi wydarzeniami kulturalnymi, nowatorskimi formami wyrazu artystycznego, nowymi zjawiskami w sztuce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K2_K01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K2_K03</w:t>
            </w: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C44EF" w:rsidTr="004C44EF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4C44EF" w:rsidTr="004C44EF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4C44EF" w:rsidTr="004C44EF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4EF" w:rsidTr="004C44EF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4EF" w:rsidTr="004C44EF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44EF" w:rsidRDefault="004C44EF" w:rsidP="004C44E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C44EF" w:rsidTr="004C44EF">
        <w:trPr>
          <w:trHeight w:val="128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Metody: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podające (wykład informacyjny, wykład konwersatoryjny)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eksponujące (dyskusja)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praktyczne (metoda przewodniego tekstu)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44EF" w:rsidRDefault="004C44EF" w:rsidP="004C44E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:rsidR="004C44EF" w:rsidRDefault="004C44EF" w:rsidP="004C44E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4C44EF" w:rsidTr="004C44EF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4C44EF" w:rsidTr="004C44EF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4EF" w:rsidTr="004C44E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4EF" w:rsidTr="004C44E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4EF" w:rsidTr="004C44EF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4EF" w:rsidTr="004C44E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4EF" w:rsidTr="004C44E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4EF" w:rsidTr="004C44E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44EF" w:rsidRDefault="004C44EF" w:rsidP="004C44E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C44EF" w:rsidTr="004C44EF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Warunkiem uzyskania pozytywnej oceny końcowej  (zaliczenie z oceną) jest regularne i aktywne uczestnictwo w zajęciach, udział w dyskusji w czasie zajęć, przygotowanie referatu związanego z tematyką zajęć, pozytywne oceny z cyklicznych prac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śródsemestralnych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Standardowa skala ocen.</w:t>
            </w: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C44EF" w:rsidTr="004C44EF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44EF" w:rsidRDefault="004C44E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C44EF" w:rsidRPr="004C44EF" w:rsidTr="004C44EF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1. Teoria fantastyki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2. Tradycja i definicje literatury fantastycznej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3. Gatunki literatury fantastycznej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4. Niemieckojęzyczna literatura fantastyczna – analiza porównawcza wybranych utworów: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E.T.A Hoffmann: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Fräulein von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Scuderi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Theodor Storm: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Der Schimmelreiter 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Alfred Döblin: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Ermordung einer Butterblume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Franz Kafka: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Verwandlung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Ilse Aichinger: Geschichten (Auswahl)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Marie Luise Kaschnitz: Geschichten (Auswahl)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Patrick Süskind: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Das Parfum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Christoph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Ransmayr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letzte Welt</w:t>
            </w:r>
          </w:p>
          <w:p w:rsidR="004C44EF" w:rsidRDefault="004C44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Urs Widmer: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Der blaue Siphon</w:t>
            </w: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C44EF" w:rsidRPr="004C44EF" w:rsidTr="004C44EF">
        <w:trPr>
          <w:trHeight w:val="1101"/>
        </w:trPr>
        <w:tc>
          <w:tcPr>
            <w:tcW w:w="96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Literatura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prymarna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E.T.A Hoffmann: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Fräulein von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Scuderi</w:t>
            </w:r>
            <w:proofErr w:type="spellEnd"/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Theodor Storm: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Der Schimmelreiter 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Alfred Döblin: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Ermordung einer Butterblume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Franz Kafka: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Verwandlung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Ilse Aichinger: Geschichten (Auswahl)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Marie Luise Kaschnitz: Geschichten (Auswahl)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Patrick Süskind: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Das Parfum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Christoph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Ransmayr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letzte Welt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Urs Widmer: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Der blaue Siphon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Literatura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sekundarna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Brittnacher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, Hans Richard: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Ästhetik des Horrors,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Suhrkamp Taschenbuch, Frankfurt am Main 1994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Freund, Winfried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: Deutsche Phantastik. Die phantastische deutschsprachige Literatur von Goethe bis zur Gegenwart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, Wilhelm Fink Verlag, München 1999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Lovecraft, Howard Phillip: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Literatur der Angst. Zur Geschichte der Phantastik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, Frankfurt am Main 1995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Todorov,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Tzvetan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Einführung in die fantastische Literatur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, Fischer, Frankfurt am Main 1992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Vax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, Louis: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Phantastik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w: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Phaicon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, Frankfurt am Main 1974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>
        <w:rPr>
          <w:rFonts w:ascii="Arial" w:eastAsia="Times New Roman" w:hAnsi="Arial" w:cs="Arial"/>
          <w:sz w:val="20"/>
          <w:szCs w:val="20"/>
          <w:lang w:val="it-IT" w:eastAsia="pl-PL"/>
        </w:rPr>
        <w:t>Wykaz literatury uzupełniającej</w:t>
      </w: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C44EF" w:rsidRPr="004C44EF" w:rsidTr="004C44EF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C44EF" w:rsidRDefault="004C44EF" w:rsidP="008F09D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Conrad, Horst: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Die literarische Angst. Das schreckliche in Schauerromantik und Detektivgeschichte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Düsseldorf 1974</w:t>
            </w:r>
          </w:p>
          <w:p w:rsidR="004C44EF" w:rsidRDefault="004C44EF" w:rsidP="008F0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Förster, Nikolaus: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Wiederkehr des Erzählens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Deutschsprachige Prosa der 80er und 90er Jahre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Wissenschaftliche Buchgesellschaft, Darmstadt 1999</w:t>
            </w:r>
          </w:p>
          <w:p w:rsidR="004C44EF" w:rsidRDefault="004C44EF" w:rsidP="008F0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Freud, Siegmund: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Das Unheimliche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w: S. F.,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Psychologische Schriften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 Studienausgabe Bd. 4, Frankfurt am Main 1970</w:t>
            </w:r>
          </w:p>
          <w:p w:rsidR="004C44EF" w:rsidRDefault="004C44EF" w:rsidP="008F09D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Freund, Winfried: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Phantasie, Aggression und Angst – Ansätze zu einer Sozialpsychologie der neueren deutschen Literatur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Sprachkunst 11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1980</w:t>
            </w:r>
          </w:p>
          <w:p w:rsidR="004C44EF" w:rsidRDefault="004C44EF" w:rsidP="008F0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Haas, Gerhard: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Phantastik - die widerrufene Aufklärung?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w: Lange, Günter; Steffens, Wilhelm (Hrsg.):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Literarische und didaktische Aspekte der phantastischen Kinder- und Jugendliteratur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Königshausen &amp; Neumann, Würzburg 1993</w:t>
            </w:r>
          </w:p>
          <w:p w:rsidR="004C44EF" w:rsidRDefault="004C44EF" w:rsidP="008F0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Pietzker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Carl: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Das Groteske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Sonderausdrucke aus der Albert-Ludwigs-Universität Freiburg,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Wissenschaftliche Buchgesellschaft, Darmstadt 1980</w:t>
            </w:r>
          </w:p>
          <w:p w:rsidR="004C44EF" w:rsidRDefault="004C44EF" w:rsidP="008F0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Wawrzyn, Lienhard: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Der Automatenmensch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Verlag Klaus Wagenbach, Berlin 1994</w:t>
            </w:r>
          </w:p>
          <w:p w:rsidR="004C44EF" w:rsidRDefault="004C44EF" w:rsidP="008F0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Wittig, Frank: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Maschinenmensch. Zur Geschichte eines literarischen Motivs im Kontext von Philosophie, Naturwissenschaft und Technik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w: Würzburger wissenschaftliche Schriften, Bd. 212, Würzburg 1997</w:t>
            </w:r>
          </w:p>
          <w:p w:rsidR="004C44EF" w:rsidRDefault="004C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7"/>
        <w:gridCol w:w="5546"/>
        <w:gridCol w:w="1045"/>
      </w:tblGrid>
      <w:tr w:rsidR="004C44EF" w:rsidTr="004C44EF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</w:tc>
      </w:tr>
      <w:tr w:rsidR="004C44EF" w:rsidTr="004C44EF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4C44EF" w:rsidTr="004C44EF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4C44EF" w:rsidTr="004C44EF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Ilość godzin pracy studenta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4C44EF" w:rsidTr="004C44EF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4C44EF" w:rsidTr="004C44EF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</w:p>
        </w:tc>
      </w:tr>
      <w:tr w:rsidR="004C44EF" w:rsidTr="004C44EF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4C44EF" w:rsidTr="004C44EF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4C44EF" w:rsidTr="004C44EF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C44EF" w:rsidRDefault="004C44EF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C44EF" w:rsidRDefault="004C44EF">
            <w:pPr>
              <w:suppressAutoHyphens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44EF" w:rsidRDefault="004C44EF" w:rsidP="004C44EF"/>
    <w:p w:rsidR="004C44EF" w:rsidRDefault="004C44EF" w:rsidP="004C44EF"/>
    <w:p w:rsidR="004C44EF" w:rsidRDefault="004C44EF" w:rsidP="004C44EF"/>
    <w:p w:rsidR="00620D1E" w:rsidRDefault="00620D1E"/>
    <w:sectPr w:rsidR="0062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A1B"/>
    <w:multiLevelType w:val="hybridMultilevel"/>
    <w:tmpl w:val="83A4A5C0"/>
    <w:lvl w:ilvl="0" w:tplc="691CE206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EF"/>
    <w:rsid w:val="000A1A4D"/>
    <w:rsid w:val="004C44EF"/>
    <w:rsid w:val="00620D1E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2017-12-21T12:33:00Z</dcterms:created>
  <dcterms:modified xsi:type="dcterms:W3CDTF">2017-12-21T12:40:00Z</dcterms:modified>
</cp:coreProperties>
</file>