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6C" w:rsidRPr="00933824" w:rsidRDefault="003C186C" w:rsidP="003C186C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3C186C" w:rsidRPr="00933824" w:rsidRDefault="003C186C" w:rsidP="003C186C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3C186C" w:rsidRPr="00933824" w:rsidRDefault="003C186C" w:rsidP="003C186C">
      <w:pPr>
        <w:pStyle w:val="Nagwek1"/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b/>
          <w:bCs/>
          <w:sz w:val="20"/>
          <w:szCs w:val="20"/>
        </w:rPr>
        <w:t>KARTA KURSU</w:t>
      </w:r>
    </w:p>
    <w:p w:rsidR="003C186C" w:rsidRPr="00933824" w:rsidRDefault="003C186C" w:rsidP="003C186C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C186C" w:rsidRPr="00933824" w:rsidTr="004F448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Gramatyka kontrastywna</w:t>
            </w:r>
          </w:p>
        </w:tc>
      </w:tr>
      <w:tr w:rsidR="003C186C" w:rsidRPr="00933824" w:rsidTr="004F448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  <w:r w:rsidRPr="00933824">
              <w:rPr>
                <w:rFonts w:ascii="Arial" w:hAnsi="Arial" w:cs="Arial"/>
                <w:sz w:val="20"/>
                <w:szCs w:val="20"/>
                <w:lang w:val="en-GB"/>
              </w:rPr>
              <w:t>–Polish Contrastive Grammar</w:t>
            </w:r>
          </w:p>
          <w:p w:rsidR="003C186C" w:rsidRPr="00933824" w:rsidRDefault="003C186C" w:rsidP="004F4480">
            <w:pPr>
              <w:pStyle w:val="Zawartotabeli"/>
              <w:spacing w:before="60" w:after="60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C186C" w:rsidRPr="00933824" w:rsidRDefault="003C186C" w:rsidP="003C186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C186C" w:rsidRPr="00933824" w:rsidTr="004F448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3C186C" w:rsidRPr="00933824" w:rsidRDefault="003C186C" w:rsidP="003C18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C186C" w:rsidRPr="00933824" w:rsidTr="004F448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</w:rPr>
              <w:t>Sebastian Dusza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9338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Opis kursu (cele kształcenia)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C186C" w:rsidRPr="00933824" w:rsidTr="003C186C">
        <w:trPr>
          <w:trHeight w:val="1365"/>
        </w:trPr>
        <w:tc>
          <w:tcPr>
            <w:tcW w:w="9640" w:type="dxa"/>
          </w:tcPr>
          <w:p w:rsidR="003C186C" w:rsidRPr="00933824" w:rsidRDefault="003C186C" w:rsidP="004F4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824">
              <w:rPr>
                <w:rFonts w:ascii="Arial" w:hAnsi="Arial" w:cs="Arial"/>
                <w:b/>
                <w:sz w:val="22"/>
                <w:szCs w:val="22"/>
              </w:rPr>
              <w:t>Gramatyka kontrastywna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Celem ogólnym jest zapoznanie studentów z podstawowymi podobieństwami i różnicami występującymi pomiędzy językiem niemieckim i językiem polskim, ze szczególnym uwzgl</w:t>
            </w:r>
            <w:r>
              <w:rPr>
                <w:rFonts w:ascii="Arial" w:hAnsi="Arial" w:cs="Arial"/>
                <w:sz w:val="22"/>
                <w:szCs w:val="22"/>
              </w:rPr>
              <w:t xml:space="preserve">ędnieniem różnic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morfoskładniowych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(systemy fleksyjne słowa, systemy predykcyjne zdania prostego, systemy emergencji predykcyjnej w zdaniu złożonym)</w:t>
            </w:r>
            <w:r w:rsidRPr="0093382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Kurs prowadzony jest w j. niemieckim.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824">
              <w:rPr>
                <w:rFonts w:ascii="Arial" w:hAnsi="Arial" w:cs="Arial"/>
                <w:b/>
                <w:sz w:val="22"/>
                <w:szCs w:val="22"/>
              </w:rPr>
              <w:t>Cele szczegółowe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Student: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zna pojęcia i przedmiot badań konfrontatywnych, typy opisu konfrontatywnego, pojęcie </w:t>
            </w:r>
            <w:r w:rsidRPr="00933824">
              <w:rPr>
                <w:rFonts w:ascii="Arial" w:hAnsi="Arial" w:cs="Arial"/>
                <w:i/>
                <w:sz w:val="22"/>
                <w:szCs w:val="22"/>
              </w:rPr>
              <w:t>tertium comparationis;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zna podobieństwa i różnice pomiędzy niemieckim i polskim systemem </w:t>
            </w:r>
            <w:r w:rsidR="00DB4FB3">
              <w:rPr>
                <w:rFonts w:ascii="Arial" w:hAnsi="Arial" w:cs="Arial"/>
                <w:sz w:val="22"/>
                <w:szCs w:val="22"/>
              </w:rPr>
              <w:t xml:space="preserve">odmiany rzeczowników i czasowników oraz </w:t>
            </w:r>
            <w:r w:rsidRPr="00933824">
              <w:rPr>
                <w:rFonts w:ascii="Arial" w:hAnsi="Arial" w:cs="Arial"/>
                <w:sz w:val="22"/>
                <w:szCs w:val="22"/>
              </w:rPr>
              <w:t xml:space="preserve">czasów, w zakresie użycia strony biernej, trybu przypuszczającego i rozkazującego w języku niemieckim i polskim; 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zna problematykę związaną z rodzajnikiem</w:t>
            </w:r>
            <w:r w:rsidR="00DB4FB3">
              <w:rPr>
                <w:rFonts w:ascii="Arial" w:hAnsi="Arial" w:cs="Arial"/>
                <w:sz w:val="22"/>
                <w:szCs w:val="22"/>
              </w:rPr>
              <w:t xml:space="preserve"> jako </w:t>
            </w:r>
            <w:proofErr w:type="spellStart"/>
            <w:r w:rsidR="00DB4FB3">
              <w:rPr>
                <w:rFonts w:ascii="Arial" w:hAnsi="Arial" w:cs="Arial"/>
                <w:sz w:val="22"/>
                <w:szCs w:val="22"/>
              </w:rPr>
              <w:t>determinatorem</w:t>
            </w:r>
            <w:proofErr w:type="spellEnd"/>
            <w:r w:rsidRPr="00933824">
              <w:rPr>
                <w:rFonts w:ascii="Arial" w:hAnsi="Arial" w:cs="Arial"/>
                <w:sz w:val="22"/>
                <w:szCs w:val="22"/>
              </w:rPr>
              <w:t xml:space="preserve"> i jego odpowiednikami w języku polskim; przeczenie w języku niemieckim i polskim; podstawowe różnice składniowe;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zna pojęcie tzw. „fałszywych przyjaciół tłumacza” w kontekście leksykalnym;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potrafi posługiwać się podstawową terminologią gramatyczną w języku niemieckim</w:t>
            </w:r>
            <w:r w:rsidR="00DB4FB3">
              <w:rPr>
                <w:rFonts w:ascii="Arial" w:hAnsi="Arial" w:cs="Arial"/>
                <w:sz w:val="22"/>
                <w:szCs w:val="22"/>
              </w:rPr>
              <w:t xml:space="preserve"> i polskim</w:t>
            </w:r>
            <w:r w:rsidRPr="009338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2"/>
          <w:szCs w:val="22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Warunki wstępne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C186C" w:rsidRPr="00933824" w:rsidTr="004F448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Znajomość </w:t>
            </w:r>
            <w:r>
              <w:rPr>
                <w:rFonts w:ascii="Arial" w:hAnsi="Arial" w:cs="Arial"/>
                <w:sz w:val="22"/>
                <w:szCs w:val="22"/>
              </w:rPr>
              <w:t xml:space="preserve">podstawowych zagadnień opisu </w:t>
            </w:r>
            <w:r w:rsidRPr="00933824">
              <w:rPr>
                <w:rFonts w:ascii="Arial" w:hAnsi="Arial" w:cs="Arial"/>
                <w:sz w:val="22"/>
                <w:szCs w:val="22"/>
              </w:rPr>
              <w:t xml:space="preserve">gramatycznego języka niemieckiego i polskiego </w:t>
            </w:r>
          </w:p>
        </w:tc>
      </w:tr>
      <w:tr w:rsidR="003C186C" w:rsidRPr="00933824" w:rsidTr="004F448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Znajomo</w:t>
            </w:r>
            <w:r>
              <w:rPr>
                <w:rFonts w:ascii="Arial" w:hAnsi="Arial" w:cs="Arial"/>
                <w:sz w:val="22"/>
                <w:szCs w:val="22"/>
              </w:rPr>
              <w:t>ść podstawowych zagadnień opisu</w:t>
            </w:r>
            <w:r w:rsidRPr="00933824">
              <w:rPr>
                <w:rFonts w:ascii="Arial" w:hAnsi="Arial" w:cs="Arial"/>
                <w:sz w:val="22"/>
                <w:szCs w:val="22"/>
              </w:rPr>
              <w:t xml:space="preserve"> gramatycznego języka niemieckiego i polskiego </w:t>
            </w:r>
          </w:p>
        </w:tc>
      </w:tr>
      <w:tr w:rsidR="003C186C" w:rsidRPr="00933824" w:rsidTr="004F4480"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C186C" w:rsidRPr="0093382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Gramatyka opisowa języka niemieckiego I </w:t>
            </w:r>
            <w:proofErr w:type="spellStart"/>
            <w:r w:rsidRPr="0093382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933824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DB4FB3">
              <w:rPr>
                <w:rFonts w:ascii="Arial" w:hAnsi="Arial" w:cs="Arial"/>
                <w:sz w:val="22"/>
                <w:szCs w:val="22"/>
              </w:rPr>
              <w:t>, Wstęp do językoznawstwa, znajomość składni języka polskiego na poziomie licealnym.</w:t>
            </w:r>
          </w:p>
          <w:p w:rsidR="003C186C" w:rsidRPr="00F71684" w:rsidRDefault="003C186C" w:rsidP="004F4480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Default="003C186C" w:rsidP="003C186C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 xml:space="preserve">Efekty kształcenia 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5074"/>
        <w:gridCol w:w="2303"/>
      </w:tblGrid>
      <w:tr w:rsidR="003C186C" w:rsidRPr="00933824" w:rsidTr="004F448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C186C" w:rsidRPr="00933824" w:rsidTr="004F4480">
        <w:trPr>
          <w:cantSplit/>
          <w:trHeight w:val="1838"/>
        </w:trPr>
        <w:tc>
          <w:tcPr>
            <w:tcW w:w="1979" w:type="dxa"/>
            <w:vMerge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1: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zna podstawową terminologię z zakresu gramatyki konfrontatywnej niemiecko-polskiej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2: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ma uporządkowaną wiedzę szczegółową z zakresu gramatyki konfrontatywnej niemiecko-polskiej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3: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zna i rozumie podstawowe metody analizy i interpretacji właściwe dla gramatyki konfrontatywnej niemiecko-polskiej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>W</w:t>
            </w: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Pr="00933824">
              <w:rPr>
                <w:rFonts w:ascii="Arial" w:hAnsi="Arial" w:cs="Arial"/>
                <w:sz w:val="22"/>
                <w:szCs w:val="20"/>
              </w:rPr>
              <w:t xml:space="preserve">4: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ma świadomość kompleksowej natury języka oraz jego złożoności i zmienności jego znaczeń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K1_W04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K1_W07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K1_W09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C186C" w:rsidRPr="00933824" w:rsidTr="004F448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C186C" w:rsidRPr="00933824" w:rsidTr="004F4480">
        <w:trPr>
          <w:cantSplit/>
          <w:trHeight w:val="2116"/>
        </w:trPr>
        <w:tc>
          <w:tcPr>
            <w:tcW w:w="1985" w:type="dxa"/>
            <w:vMerge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33824">
              <w:rPr>
                <w:rFonts w:ascii="Arial" w:hAnsi="Arial" w:cs="Arial"/>
                <w:sz w:val="21"/>
                <w:szCs w:val="21"/>
              </w:rPr>
              <w:t>U01:</w:t>
            </w:r>
            <w:r w:rsidR="00DB4FB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4FB3">
              <w:rPr>
                <w:rFonts w:ascii="Arial" w:hAnsi="Arial" w:cs="Arial"/>
                <w:sz w:val="22"/>
                <w:szCs w:val="20"/>
              </w:rPr>
              <w:t>Student</w:t>
            </w:r>
            <w:r w:rsidRPr="00933824">
              <w:rPr>
                <w:rFonts w:ascii="Arial" w:hAnsi="Arial" w:cs="Arial"/>
                <w:sz w:val="21"/>
                <w:szCs w:val="21"/>
              </w:rPr>
              <w:t xml:space="preserve"> doskonali umiejętność czytania ze zrozumieniem specjalistycznej literatury przedmiotu 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1"/>
                <w:szCs w:val="21"/>
              </w:rPr>
              <w:t xml:space="preserve">U02: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1"/>
                <w:szCs w:val="21"/>
              </w:rPr>
              <w:t xml:space="preserve">posiada </w:t>
            </w:r>
            <w:r w:rsidRPr="00933824">
              <w:rPr>
                <w:rFonts w:ascii="Arial" w:hAnsi="Arial" w:cs="Arial"/>
                <w:sz w:val="22"/>
                <w:szCs w:val="20"/>
              </w:rPr>
              <w:t>umiejętność określania na podanych przykładach różnic w systemach języka polskiego i niemieckiego, ze szczególnym uwzględnieniem morfologii i składni.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33824">
              <w:rPr>
                <w:rFonts w:ascii="Arial" w:hAnsi="Arial" w:cs="Arial"/>
                <w:sz w:val="22"/>
                <w:szCs w:val="20"/>
              </w:rPr>
              <w:t xml:space="preserve">U03: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Pr="00933824">
              <w:rPr>
                <w:rFonts w:ascii="Arial" w:hAnsi="Arial" w:cs="Arial"/>
                <w:sz w:val="22"/>
                <w:szCs w:val="20"/>
              </w:rPr>
              <w:t>potrafi samodzielnie zdobywać wiedzę i rozwijać umiejętności badawcze w zakresie morfologii i składni kierując się wskazówkami opiekuna naukowego.</w:t>
            </w:r>
          </w:p>
          <w:p w:rsidR="003C186C" w:rsidRPr="00933824" w:rsidRDefault="003C186C" w:rsidP="004F44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999"/>
        <w:gridCol w:w="2343"/>
      </w:tblGrid>
      <w:tr w:rsidR="003C186C" w:rsidRPr="00933824" w:rsidTr="004F448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C186C" w:rsidRPr="00933824" w:rsidTr="004F4480">
        <w:trPr>
          <w:cantSplit/>
          <w:trHeight w:val="1404"/>
        </w:trPr>
        <w:tc>
          <w:tcPr>
            <w:tcW w:w="1985" w:type="dxa"/>
            <w:vMerge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 xml:space="preserve">K01: </w:t>
            </w:r>
            <w:r w:rsidR="00DB4FB3">
              <w:rPr>
                <w:rFonts w:ascii="Arial" w:hAnsi="Arial" w:cs="Arial"/>
                <w:sz w:val="22"/>
                <w:szCs w:val="20"/>
              </w:rPr>
              <w:t xml:space="preserve">Student </w:t>
            </w:r>
            <w:r w:rsidR="00DB4FB3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r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ozumie potrzebę uczenia się języków obcych.</w:t>
            </w: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 xml:space="preserve">K02: </w:t>
            </w:r>
            <w:r w:rsidR="00DB4FB3">
              <w:rPr>
                <w:rFonts w:ascii="Arial" w:hAnsi="Arial" w:cs="Arial"/>
                <w:sz w:val="22"/>
                <w:szCs w:val="20"/>
              </w:rPr>
              <w:t>Student p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otrafi współdziałać i pracować w grupie.</w:t>
            </w: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mallCaps/>
                <w:color w:val="1A171B"/>
                <w:sz w:val="22"/>
                <w:szCs w:val="22"/>
              </w:rPr>
            </w:pP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  <w:r w:rsidRPr="00F71684">
              <w:rPr>
                <w:rFonts w:ascii="Arial" w:eastAsia="MyriadPro-Regular" w:hAnsi="Arial" w:cs="Arial"/>
                <w:smallCaps/>
                <w:color w:val="1A171B"/>
                <w:sz w:val="22"/>
                <w:szCs w:val="22"/>
              </w:rPr>
              <w:t>K03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:</w:t>
            </w:r>
            <w:r w:rsidR="00DB4FB3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 xml:space="preserve"> </w:t>
            </w:r>
            <w:r w:rsidR="00DB4FB3">
              <w:rPr>
                <w:rFonts w:ascii="Arial" w:hAnsi="Arial" w:cs="Arial"/>
                <w:sz w:val="22"/>
                <w:szCs w:val="20"/>
              </w:rPr>
              <w:t>Student p</w:t>
            </w:r>
            <w:r w:rsidRPr="00F71684">
              <w:rPr>
                <w:rFonts w:ascii="Arial" w:eastAsia="MyriadPro-Regular" w:hAnsi="Arial" w:cs="Arial"/>
                <w:color w:val="1A171B"/>
                <w:sz w:val="22"/>
                <w:szCs w:val="22"/>
              </w:rPr>
              <w:t>otrafi odpowiednio określić  priorytety służące realizacji określonego przez siebie lub innych zadania.</w:t>
            </w:r>
          </w:p>
          <w:p w:rsidR="003C186C" w:rsidRPr="00F71684" w:rsidRDefault="003C186C" w:rsidP="004F4480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2"/>
                <w:szCs w:val="22"/>
              </w:rPr>
            </w:pPr>
          </w:p>
        </w:tc>
        <w:tc>
          <w:tcPr>
            <w:tcW w:w="2410" w:type="dxa"/>
          </w:tcPr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F71684">
              <w:rPr>
                <w:rFonts w:ascii="Arial" w:hAnsi="Arial" w:cs="Arial"/>
                <w:sz w:val="20"/>
                <w:szCs w:val="20"/>
              </w:rPr>
              <w:t>K1_K02</w:t>
            </w: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F71684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3C186C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B4FB3" w:rsidRDefault="00DB4FB3" w:rsidP="004F448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3C186C" w:rsidRPr="00F7168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F71684">
              <w:rPr>
                <w:rFonts w:ascii="Arial" w:hAnsi="Arial" w:cs="Arial"/>
                <w:smallCaps/>
                <w:sz w:val="20"/>
                <w:szCs w:val="20"/>
              </w:rPr>
              <w:t>K1_K05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C186C" w:rsidRPr="00933824" w:rsidTr="004F448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C186C" w:rsidRPr="00933824" w:rsidTr="004F448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C186C" w:rsidRPr="00933824" w:rsidTr="004F448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83777E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</w:p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trHeight w:val="462"/>
        </w:trPr>
        <w:tc>
          <w:tcPr>
            <w:tcW w:w="1611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Opis metod prowadzenia zajęć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933824" w:rsidTr="004F4480">
        <w:trPr>
          <w:trHeight w:val="1286"/>
        </w:trPr>
        <w:tc>
          <w:tcPr>
            <w:tcW w:w="9622" w:type="dxa"/>
          </w:tcPr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>- metoda podająca (wykład)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metoda problemowa (dyskusja) </w:t>
            </w:r>
          </w:p>
          <w:p w:rsidR="003C186C" w:rsidRPr="00933824" w:rsidRDefault="003C186C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933824">
              <w:rPr>
                <w:rFonts w:ascii="Arial" w:hAnsi="Arial" w:cs="Arial"/>
                <w:sz w:val="22"/>
                <w:szCs w:val="22"/>
              </w:rPr>
              <w:t xml:space="preserve">- metoda praktyczna (ćwiczenia przedmiotowe, referowanie, streszczanie, prezentacje multimedialne wraz ze wspólnym omawianiem przykładów podobieństw i różnic pomiędzy językiem niemieckim a językiem polskim) </w:t>
            </w:r>
          </w:p>
        </w:tc>
      </w:tr>
    </w:tbl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Formy sprawdzania efektów kształcenia</w:t>
      </w: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3C186C" w:rsidRPr="00933824" w:rsidTr="004F448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3382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C186C" w:rsidRPr="00933824" w:rsidRDefault="003C186C" w:rsidP="004F44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C186C" w:rsidRPr="00933824" w:rsidTr="004F44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6C" w:rsidRPr="00933824" w:rsidTr="004F44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C186C" w:rsidRPr="00933824" w:rsidRDefault="003C186C" w:rsidP="004F4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C186C" w:rsidRPr="00933824" w:rsidTr="004F4480"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C186C" w:rsidRPr="00933824" w:rsidRDefault="003C186C" w:rsidP="004F4480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udział w dyskusji w czasie zajęć,</w:t>
            </w:r>
            <w:r w:rsidR="007C3589">
              <w:rPr>
                <w:rFonts w:ascii="Arial" w:hAnsi="Arial" w:cs="Arial"/>
                <w:sz w:val="20"/>
                <w:szCs w:val="20"/>
              </w:rPr>
              <w:t xml:space="preserve"> pozytywna ocena z dwóch kolokwiów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33824">
              <w:rPr>
                <w:rFonts w:ascii="Arial" w:hAnsi="Arial" w:cs="Arial"/>
                <w:sz w:val="20"/>
                <w:szCs w:val="20"/>
              </w:rPr>
              <w:t xml:space="preserve"> wykonywanie zadań domowych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uzyskanie pozytywnej oceny z egzaminu pisemnego.</w:t>
            </w:r>
            <w:r w:rsidRPr="00933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6C" w:rsidRDefault="003C186C" w:rsidP="004F44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kończy się egzaminem pisemnym. Ujednolicona</w:t>
            </w:r>
            <w:r w:rsidRPr="00933824">
              <w:rPr>
                <w:rFonts w:ascii="Arial" w:hAnsi="Arial" w:cs="Arial"/>
                <w:sz w:val="20"/>
                <w:szCs w:val="20"/>
              </w:rPr>
              <w:t xml:space="preserve"> skala ocen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60-67 (3.0)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68-75 (3,5)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76-83 (4,0)</w:t>
            </w:r>
          </w:p>
          <w:p w:rsidR="003C186C" w:rsidRDefault="003C186C" w:rsidP="004F44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84-92 (4,5)</w:t>
            </w:r>
          </w:p>
          <w:p w:rsidR="003C186C" w:rsidRPr="00933824" w:rsidRDefault="003C186C" w:rsidP="004F44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93-100 (5,0)</w:t>
            </w:r>
          </w:p>
        </w:tc>
      </w:tr>
    </w:tbl>
    <w:p w:rsidR="003C186C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C186C" w:rsidRPr="00933824" w:rsidTr="004F448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C186C" w:rsidRPr="00933824" w:rsidRDefault="003C186C" w:rsidP="004F448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C186C" w:rsidRPr="00933824" w:rsidRDefault="003C186C" w:rsidP="004F448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86C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F71684" w:rsidTr="004F4480">
        <w:trPr>
          <w:trHeight w:val="1136"/>
        </w:trPr>
        <w:tc>
          <w:tcPr>
            <w:tcW w:w="9622" w:type="dxa"/>
          </w:tcPr>
          <w:p w:rsidR="003C186C" w:rsidRPr="00F71684" w:rsidRDefault="003C186C" w:rsidP="004F44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 xml:space="preserve">Przedmiot gramatyki/lingwistyki </w:t>
            </w:r>
            <w:r>
              <w:rPr>
                <w:rFonts w:ascii="Arial" w:hAnsi="Arial" w:cs="Arial"/>
                <w:sz w:val="22"/>
                <w:szCs w:val="22"/>
              </w:rPr>
              <w:t>konfrontatywnej/kontrastywnej</w:t>
            </w:r>
          </w:p>
          <w:p w:rsidR="003C186C" w:rsidRPr="00F71684" w:rsidRDefault="007C3589" w:rsidP="003C186C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Części zdania, części Planu Zdania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Fenomen ekwiwalencj</w:t>
            </w:r>
            <w:r>
              <w:rPr>
                <w:rFonts w:ascii="Arial" w:hAnsi="Arial" w:cs="Arial"/>
                <w:sz w:val="22"/>
                <w:szCs w:val="22"/>
              </w:rPr>
              <w:t>i i związane z nim kontrowersje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Fałszywi przyjaciele w uczeniu się języ</w:t>
            </w:r>
            <w:r>
              <w:rPr>
                <w:rFonts w:ascii="Arial" w:hAnsi="Arial" w:cs="Arial"/>
                <w:sz w:val="22"/>
                <w:szCs w:val="22"/>
              </w:rPr>
              <w:t>ka obcego – pojęcia i przykłady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Teksty użytkowe</w:t>
            </w:r>
          </w:p>
          <w:p w:rsidR="003C186C" w:rsidRPr="00F71684" w:rsidRDefault="003C186C" w:rsidP="003C186C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Aspekt i czas</w:t>
            </w:r>
          </w:p>
          <w:p w:rsidR="003C186C" w:rsidRPr="00F71684" w:rsidRDefault="003C186C" w:rsidP="003C186C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Obszary potencjalnej interferencji pomiędzy językiem polskim i niemieckim w zakresie morfologii i składni</w:t>
            </w:r>
          </w:p>
          <w:p w:rsidR="003C186C" w:rsidRPr="00F71684" w:rsidRDefault="007C3589" w:rsidP="003C186C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segregacji płciowej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 języka niemieckiego i polskiego</w:t>
            </w:r>
          </w:p>
          <w:p w:rsidR="003C186C" w:rsidRPr="00F71684" w:rsidRDefault="007C3589" w:rsidP="003C186C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Akcent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 w języku polskim i niemieckim</w:t>
            </w:r>
          </w:p>
          <w:p w:rsidR="003C186C" w:rsidRPr="007C3589" w:rsidRDefault="003C186C" w:rsidP="007C3589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Konstrukcje</w:t>
            </w:r>
            <w:r w:rsidR="007C3589">
              <w:rPr>
                <w:rFonts w:ascii="Arial" w:hAnsi="Arial" w:cs="Arial"/>
                <w:sz w:val="22"/>
                <w:szCs w:val="22"/>
              </w:rPr>
              <w:t xml:space="preserve"> zdania złożonego</w:t>
            </w:r>
          </w:p>
          <w:p w:rsidR="003C186C" w:rsidRPr="00F71684" w:rsidRDefault="003C186C" w:rsidP="003C186C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>Pragmatyczne kontrasty pomiędzy językiem polskim a niemieckim</w:t>
            </w:r>
            <w:r w:rsidR="007C3589">
              <w:rPr>
                <w:rFonts w:ascii="Arial" w:hAnsi="Arial" w:cs="Arial"/>
                <w:sz w:val="22"/>
                <w:szCs w:val="22"/>
              </w:rPr>
              <w:t xml:space="preserve"> w ramach frazeologii</w:t>
            </w: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Wykaz literatury podstawowej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370D30" w:rsidTr="004F4480">
        <w:trPr>
          <w:trHeight w:val="1098"/>
        </w:trPr>
        <w:tc>
          <w:tcPr>
            <w:tcW w:w="9622" w:type="dxa"/>
          </w:tcPr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Ulrich 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Engel, i in. (2000):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Deutsch-polnische kontrastive Grammatik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. Warszawa: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Wydawnictwo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Naukowe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PWN.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Joanna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Golonka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(2012):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Kontrastive Grammatik Deutsch-Polnisch für polnische Studenten: ausgewählte Probleme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, Rzeszów 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Joachim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Ballweg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(1988):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Die Semantik der deutschen </w:t>
            </w:r>
            <w:proofErr w:type="spellStart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Tempusformen</w:t>
            </w:r>
            <w:proofErr w:type="spellEnd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. Eine indirekte Analyse im </w:t>
            </w:r>
            <w:proofErr w:type="spellStart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Rahlem</w:t>
            </w:r>
            <w:proofErr w:type="spellEnd"/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einer temporal erweiterten Aussagenlogik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, Düsseldorf </w:t>
            </w:r>
          </w:p>
          <w:p w:rsidR="003C186C" w:rsidRPr="00F71684" w:rsidRDefault="007C3589" w:rsidP="004F4480">
            <w:pPr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Tomasz Czarnecki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(1998)</w:t>
            </w:r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>Aspektualität</w:t>
            </w:r>
            <w:proofErr w:type="spellEnd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 im Polnischen und Deutschen. Bedeutungen und Formen in einer konfrontativen Übersicht. 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Gda</w:t>
            </w:r>
            <w:r w:rsidR="003C186C" w:rsidRPr="00F71684">
              <w:rPr>
                <w:rFonts w:ascii="Arial" w:eastAsia="TimesNewRoman,Italic" w:hAnsi="Arial" w:cs="Arial"/>
                <w:iCs/>
                <w:sz w:val="22"/>
                <w:szCs w:val="22"/>
                <w:lang w:val="de-DE"/>
              </w:rPr>
              <w:t>ń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sk  </w:t>
            </w:r>
          </w:p>
          <w:p w:rsidR="003C186C" w:rsidRPr="00F71684" w:rsidRDefault="007C3589" w:rsidP="004F4480">
            <w:pPr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Jan </w:t>
            </w:r>
            <w:proofErr w:type="spellStart"/>
            <w:r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Czochralski</w:t>
            </w:r>
            <w:proofErr w:type="spellEnd"/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(1975)</w:t>
            </w:r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, Verbalaspekt und </w:t>
            </w:r>
            <w:proofErr w:type="spellStart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>Tempussystem</w:t>
            </w:r>
            <w:proofErr w:type="spellEnd"/>
            <w:r w:rsidR="003C186C"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 im Deutschen und Polnischen. Eine konfrontative Darstellung</w:t>
            </w:r>
            <w:r w:rsidR="003C186C"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, Warszawa  </w:t>
            </w:r>
          </w:p>
          <w:p w:rsidR="003C186C" w:rsidRPr="00F71684" w:rsidRDefault="003C186C" w:rsidP="007C3589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</w:p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  <w:r w:rsidRPr="00933824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C186C" w:rsidRPr="0083777E" w:rsidTr="004F4480">
        <w:trPr>
          <w:trHeight w:val="1112"/>
        </w:trPr>
        <w:tc>
          <w:tcPr>
            <w:tcW w:w="9622" w:type="dxa"/>
          </w:tcPr>
          <w:p w:rsidR="003C186C" w:rsidRPr="00F71684" w:rsidRDefault="007C3589" w:rsidP="004F4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 </w:t>
            </w:r>
            <w:proofErr w:type="spellStart"/>
            <w:r w:rsidR="003C186C" w:rsidRPr="00F71684">
              <w:rPr>
                <w:rFonts w:ascii="Arial" w:hAnsi="Arial" w:cs="Arial"/>
                <w:sz w:val="22"/>
                <w:szCs w:val="22"/>
              </w:rPr>
              <w:t>Czochralski</w:t>
            </w:r>
            <w:proofErr w:type="spellEnd"/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, J.(1990):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</w:rPr>
              <w:t>Gramatyka niemiecka dla Polaków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>. Warszawa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Zofia Berdychowska 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(1996):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</w:rPr>
              <w:t>Polsko – niemiecka terminologia gramatyczna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Kraków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Hadumod Bussmann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(1990):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Lexikon der Sprachwissenschaft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. Stuttgart/ München </w:t>
            </w:r>
          </w:p>
          <w:p w:rsidR="003C186C" w:rsidRPr="00F71684" w:rsidRDefault="007C3589" w:rsidP="004F448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Hans Glück,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 (2000): </w:t>
            </w:r>
            <w:r w:rsidR="003C186C" w:rsidRPr="00F71684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Metzler Lexikon Sprache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>. Verlag J.B. Metzler Stuttgart</w:t>
            </w:r>
          </w:p>
          <w:p w:rsidR="003C186C" w:rsidRPr="0083777E" w:rsidRDefault="007C3589" w:rsidP="004F44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Tomasz Czarnecki</w:t>
            </w:r>
            <w:r w:rsidR="003C186C"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(1980):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Das Passiv im Deutschen und Polnischen. </w:t>
            </w:r>
            <w:r w:rsidR="003C186C" w:rsidRPr="0083777E">
              <w:rPr>
                <w:rFonts w:ascii="Arial" w:hAnsi="Arial" w:cs="Arial"/>
                <w:i/>
                <w:sz w:val="22"/>
                <w:szCs w:val="22"/>
                <w:lang w:val="de-DE"/>
              </w:rPr>
              <w:t>Gemeinsamkeiten und Unterschiede</w:t>
            </w:r>
            <w:r w:rsidR="003C186C" w:rsidRPr="0083777E">
              <w:rPr>
                <w:rFonts w:ascii="Arial" w:hAnsi="Arial" w:cs="Arial"/>
                <w:sz w:val="22"/>
                <w:szCs w:val="22"/>
                <w:lang w:val="de-DE"/>
              </w:rPr>
              <w:t xml:space="preserve">, in: Acta </w:t>
            </w:r>
            <w:proofErr w:type="spellStart"/>
            <w:r w:rsidR="003C186C" w:rsidRPr="0083777E">
              <w:rPr>
                <w:rFonts w:ascii="Arial" w:hAnsi="Arial" w:cs="Arial"/>
                <w:sz w:val="22"/>
                <w:szCs w:val="22"/>
                <w:lang w:val="de-DE"/>
              </w:rPr>
              <w:t>Philologica</w:t>
            </w:r>
            <w:proofErr w:type="spellEnd"/>
            <w:r w:rsidR="003C186C" w:rsidRPr="0083777E">
              <w:rPr>
                <w:rFonts w:ascii="Arial" w:hAnsi="Arial" w:cs="Arial"/>
                <w:sz w:val="22"/>
                <w:szCs w:val="22"/>
                <w:lang w:val="de-DE"/>
              </w:rPr>
              <w:t xml:space="preserve"> X. Warszawa, S. 31-39 </w:t>
            </w:r>
          </w:p>
          <w:p w:rsidR="003C186C" w:rsidRDefault="007C3589" w:rsidP="004F4480">
            <w:pPr>
              <w:rPr>
                <w:rFonts w:ascii="Arial" w:hAnsi="Arial" w:cs="Arial"/>
                <w:sz w:val="22"/>
                <w:szCs w:val="22"/>
              </w:rPr>
            </w:pPr>
            <w:r w:rsidRPr="00F71684">
              <w:rPr>
                <w:rFonts w:ascii="Arial" w:hAnsi="Arial" w:cs="Arial"/>
                <w:sz w:val="22"/>
                <w:szCs w:val="22"/>
              </w:rPr>
              <w:t xml:space="preserve">Danuta 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Buttler (1976): </w:t>
            </w:r>
            <w:r w:rsidR="003C186C" w:rsidRPr="00F71684">
              <w:rPr>
                <w:rFonts w:ascii="Arial" w:hAnsi="Arial" w:cs="Arial"/>
                <w:i/>
                <w:sz w:val="22"/>
                <w:szCs w:val="22"/>
              </w:rPr>
              <w:t>Innowacje składniowe współczesnej polszczyzny</w:t>
            </w:r>
            <w:r w:rsidR="003C186C" w:rsidRPr="00F71684">
              <w:rPr>
                <w:rFonts w:ascii="Arial" w:hAnsi="Arial" w:cs="Arial"/>
                <w:sz w:val="22"/>
                <w:szCs w:val="22"/>
              </w:rPr>
              <w:t xml:space="preserve">, Warszawa </w:t>
            </w:r>
          </w:p>
          <w:p w:rsidR="007C3589" w:rsidRDefault="007C3589" w:rsidP="007C3589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Abraham Werner et al. (1989): </w:t>
            </w:r>
            <w:r w:rsidRPr="00F71684">
              <w:rPr>
                <w:rFonts w:ascii="Arial" w:hAnsi="Arial" w:cs="Arial"/>
                <w:i/>
                <w:sz w:val="22"/>
                <w:szCs w:val="22"/>
                <w:lang w:val="de-DE"/>
              </w:rPr>
              <w:t>Tempus-Aspekt-Modus: die lexikalischen und grammatischen Formen in den germanischen Sprachen</w:t>
            </w:r>
            <w:r w:rsidRPr="00F71684">
              <w:rPr>
                <w:rFonts w:ascii="Arial" w:hAnsi="Arial" w:cs="Arial"/>
                <w:sz w:val="22"/>
                <w:szCs w:val="22"/>
                <w:lang w:val="de-DE"/>
              </w:rPr>
              <w:t xml:space="preserve">, Tübingen </w:t>
            </w:r>
          </w:p>
          <w:p w:rsidR="007C3589" w:rsidRPr="00F71684" w:rsidRDefault="007C3589" w:rsidP="007C3589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Tomasz Czarnecki (2000): </w:t>
            </w:r>
            <w:r w:rsidRPr="00F71684">
              <w:rPr>
                <w:rFonts w:ascii="Arial" w:eastAsia="Calibri" w:hAnsi="Arial" w:cs="Arial"/>
                <w:i/>
                <w:iCs/>
                <w:sz w:val="22"/>
                <w:szCs w:val="22"/>
                <w:lang w:val="de-DE"/>
              </w:rPr>
              <w:t xml:space="preserve">Interferenztypen der polnischen Muttersprachler beim Gebrauch des deutschen Konjunktivs, </w:t>
            </w:r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in: </w:t>
            </w:r>
            <w:proofErr w:type="spellStart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Studia</w:t>
            </w:r>
            <w:proofErr w:type="spellEnd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Germanica</w:t>
            </w:r>
            <w:proofErr w:type="spellEnd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>Gedanensia</w:t>
            </w:r>
            <w:proofErr w:type="spellEnd"/>
            <w:r w:rsidRPr="00F71684">
              <w:rPr>
                <w:rFonts w:ascii="Arial" w:eastAsia="Calibri" w:hAnsi="Arial" w:cs="Arial"/>
                <w:iCs/>
                <w:sz w:val="22"/>
                <w:szCs w:val="22"/>
                <w:lang w:val="de-DE"/>
              </w:rPr>
              <w:t xml:space="preserve"> 8, S. 131-143</w:t>
            </w:r>
          </w:p>
          <w:p w:rsidR="007C3589" w:rsidRPr="0083777E" w:rsidRDefault="007C3589" w:rsidP="004F44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3C186C" w:rsidRPr="00933824" w:rsidRDefault="003C186C" w:rsidP="003C186C">
      <w:pPr>
        <w:rPr>
          <w:rFonts w:ascii="Arial" w:hAnsi="Arial" w:cs="Arial"/>
          <w:sz w:val="20"/>
          <w:szCs w:val="20"/>
          <w:lang w:val="it-IT"/>
        </w:rPr>
      </w:pPr>
    </w:p>
    <w:p w:rsidR="003C186C" w:rsidRDefault="003C186C" w:rsidP="003C186C">
      <w:pPr>
        <w:widowControl/>
        <w:suppressAutoHyphens w:val="0"/>
        <w:autoSpaceDE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:rsidR="003C186C" w:rsidRPr="00933824" w:rsidRDefault="003C186C" w:rsidP="003C186C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3C186C" w:rsidRPr="00933824" w:rsidRDefault="003C186C" w:rsidP="003C186C">
      <w:pPr>
        <w:pStyle w:val="Tekstdymka1"/>
        <w:rPr>
          <w:rFonts w:ascii="Arial" w:hAnsi="Arial" w:cs="Arial"/>
          <w:sz w:val="20"/>
          <w:szCs w:val="20"/>
        </w:rPr>
      </w:pPr>
      <w:r w:rsidRPr="0093382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3C186C" w:rsidRPr="00933824" w:rsidRDefault="003C186C" w:rsidP="003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7"/>
        <w:gridCol w:w="5546"/>
        <w:gridCol w:w="1045"/>
      </w:tblGrid>
      <w:tr w:rsidR="003C186C" w:rsidRPr="00933824" w:rsidTr="004F448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C186C" w:rsidRPr="00933824" w:rsidTr="004F448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C186C"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C186C" w:rsidRPr="00933824" w:rsidTr="004F448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C186C" w:rsidP="004F448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54CAE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C186C" w:rsidRPr="00933824" w:rsidTr="004F448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C186C" w:rsidRPr="00933824" w:rsidTr="004F448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354CAE">
            <w:pPr>
              <w:widowControl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</w:t>
            </w:r>
            <w:r w:rsidR="003C18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C186C" w:rsidRPr="00933824" w:rsidTr="004F448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C186C" w:rsidRPr="00933824" w:rsidRDefault="00354CAE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3C186C" w:rsidRPr="00933824" w:rsidTr="004F448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354C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C186C" w:rsidRPr="00933824" w:rsidTr="004F448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3C186C" w:rsidRPr="00933824" w:rsidTr="004F448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C186C" w:rsidRPr="00933824" w:rsidRDefault="003C186C" w:rsidP="004F4480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338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3C186C" w:rsidRPr="00933824" w:rsidRDefault="003C186C" w:rsidP="003C186C">
      <w:pPr>
        <w:pStyle w:val="Tekstdymka1"/>
        <w:rPr>
          <w:rFonts w:ascii="Arial" w:hAnsi="Arial" w:cs="Arial"/>
          <w:sz w:val="20"/>
          <w:szCs w:val="20"/>
        </w:rPr>
      </w:pPr>
    </w:p>
    <w:p w:rsidR="004B53BF" w:rsidRDefault="004B53BF"/>
    <w:sectPr w:rsidR="004B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75D"/>
    <w:multiLevelType w:val="hybridMultilevel"/>
    <w:tmpl w:val="EF8EA72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91ADC"/>
    <w:multiLevelType w:val="hybridMultilevel"/>
    <w:tmpl w:val="320C880E"/>
    <w:lvl w:ilvl="0" w:tplc="187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22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E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0B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F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0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C"/>
    <w:rsid w:val="00354CAE"/>
    <w:rsid w:val="003C186C"/>
    <w:rsid w:val="004B53BF"/>
    <w:rsid w:val="005904A4"/>
    <w:rsid w:val="007C3589"/>
    <w:rsid w:val="0083777E"/>
    <w:rsid w:val="00CD291E"/>
    <w:rsid w:val="00DB4FB3"/>
    <w:rsid w:val="00D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86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86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C186C"/>
    <w:pPr>
      <w:suppressLineNumbers/>
    </w:pPr>
  </w:style>
  <w:style w:type="paragraph" w:customStyle="1" w:styleId="Tekstdymka1">
    <w:name w:val="Tekst dymka1"/>
    <w:basedOn w:val="Normalny"/>
    <w:rsid w:val="003C18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C186C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8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86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86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3C186C"/>
    <w:pPr>
      <w:suppressLineNumbers/>
    </w:pPr>
  </w:style>
  <w:style w:type="paragraph" w:customStyle="1" w:styleId="Tekstdymka1">
    <w:name w:val="Tekst dymka1"/>
    <w:basedOn w:val="Normalny"/>
    <w:rsid w:val="003C18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C186C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3</cp:revision>
  <dcterms:created xsi:type="dcterms:W3CDTF">2019-05-28T11:06:00Z</dcterms:created>
  <dcterms:modified xsi:type="dcterms:W3CDTF">2019-06-28T09:49:00Z</dcterms:modified>
</cp:coreProperties>
</file>